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4B373" w14:textId="789FCDB4" w:rsidR="00A74B6F" w:rsidRDefault="00A74B6F" w:rsidP="00214D05">
      <w:pPr>
        <w:jc w:val="center"/>
      </w:pPr>
    </w:p>
    <w:p w14:paraId="0204ED6A" w14:textId="77777777" w:rsidR="00A74B6F" w:rsidRPr="00214D05" w:rsidRDefault="00EF54A2" w:rsidP="00214D05">
      <w:pPr>
        <w:jc w:val="center"/>
        <w:rPr>
          <w:lang w:val="fr-FR"/>
        </w:rPr>
      </w:pPr>
      <w:r w:rsidRPr="00214D05">
        <w:rPr>
          <w:b/>
          <w:sz w:val="32"/>
          <w:highlight w:val="yellow"/>
          <w:lang w:val="fr-FR"/>
        </w:rPr>
        <w:t>[NOM DE L’ENTREPRISE]</w:t>
      </w:r>
    </w:p>
    <w:p w14:paraId="1214BC8C" w14:textId="77777777" w:rsidR="00A74B6F" w:rsidRPr="00214D05" w:rsidRDefault="00EF54A2" w:rsidP="00214D05">
      <w:pPr>
        <w:jc w:val="center"/>
        <w:rPr>
          <w:lang w:val="fr-FR"/>
        </w:rPr>
      </w:pPr>
      <w:r>
        <w:rPr>
          <w:b/>
          <w:sz w:val="36"/>
          <w:lang w:val="fr-FR"/>
        </w:rPr>
        <w:t>Guide de réponse aux incidents de données</w:t>
      </w:r>
    </w:p>
    <w:p w14:paraId="409213D0" w14:textId="77777777" w:rsidR="00A74B6F" w:rsidRPr="00214D05" w:rsidRDefault="00EF54A2" w:rsidP="00214D05">
      <w:pPr>
        <w:jc w:val="center"/>
        <w:rPr>
          <w:lang w:val="fr-FR"/>
        </w:rPr>
      </w:pPr>
      <w:r>
        <w:rPr>
          <w:b/>
          <w:color w:val="3D403D"/>
          <w:lang w:val="fr-FR"/>
        </w:rPr>
        <w:t>Confidentiel entreprise. Ne pas distribuer</w:t>
      </w:r>
    </w:p>
    <w:p w14:paraId="3F0EF1F2" w14:textId="77777777" w:rsidR="00A74B6F" w:rsidRPr="00214D05" w:rsidRDefault="00A74B6F">
      <w:pPr>
        <w:rPr>
          <w:lang w:val="fr-FR"/>
        </w:rPr>
      </w:pPr>
    </w:p>
    <w:p w14:paraId="3B64B385" w14:textId="77777777" w:rsidR="00A74B6F" w:rsidRPr="00214D05" w:rsidRDefault="00EF54A2">
      <w:pPr>
        <w:rPr>
          <w:lang w:val="fr-FR"/>
        </w:rPr>
      </w:pPr>
      <w:r>
        <w:rPr>
          <w:b/>
          <w:color w:val="3D403D"/>
          <w:lang w:val="fr-FR"/>
        </w:rPr>
        <w:t>HISTORIQUE DES VERSIONS</w:t>
      </w:r>
    </w:p>
    <w:tbl>
      <w:tblPr>
        <w:tblStyle w:val="TableGrid"/>
        <w:tblW w:w="0" w:type="auto"/>
        <w:jc w:val="center"/>
        <w:tblLook w:val="04A0" w:firstRow="1" w:lastRow="0" w:firstColumn="1" w:lastColumn="0" w:noHBand="0" w:noVBand="1"/>
      </w:tblPr>
      <w:tblGrid>
        <w:gridCol w:w="2448"/>
        <w:gridCol w:w="2448"/>
        <w:gridCol w:w="2448"/>
        <w:gridCol w:w="2448"/>
      </w:tblGrid>
      <w:tr w:rsidR="00A74B6F" w14:paraId="6DDE59BB" w14:textId="77777777">
        <w:trPr>
          <w:jc w:val="center"/>
        </w:trPr>
        <w:tc>
          <w:tcPr>
            <w:tcW w:w="2448" w:type="dxa"/>
            <w:shd w:val="clear" w:color="auto" w:fill="E7E6E6"/>
            <w:vAlign w:val="center"/>
          </w:tcPr>
          <w:p w14:paraId="2147D0A8" w14:textId="77777777" w:rsidR="00A74B6F" w:rsidRDefault="00EF54A2">
            <w:r>
              <w:rPr>
                <w:b/>
                <w:color w:val="3D403D"/>
                <w:lang w:val="fr-FR"/>
              </w:rPr>
              <w:t>VERSION</w:t>
            </w:r>
          </w:p>
        </w:tc>
        <w:tc>
          <w:tcPr>
            <w:tcW w:w="2448" w:type="dxa"/>
            <w:shd w:val="clear" w:color="auto" w:fill="E7E6E6"/>
            <w:vAlign w:val="center"/>
          </w:tcPr>
          <w:p w14:paraId="5B1C809E" w14:textId="77777777" w:rsidR="00A74B6F" w:rsidRDefault="00EF54A2">
            <w:r>
              <w:rPr>
                <w:b/>
                <w:color w:val="3D403D"/>
                <w:lang w:val="fr-FR"/>
              </w:rPr>
              <w:t>DATE</w:t>
            </w:r>
          </w:p>
        </w:tc>
        <w:tc>
          <w:tcPr>
            <w:tcW w:w="2448" w:type="dxa"/>
            <w:shd w:val="clear" w:color="auto" w:fill="E7E6E6"/>
            <w:vAlign w:val="center"/>
          </w:tcPr>
          <w:p w14:paraId="6F7F0117" w14:textId="77777777" w:rsidR="00A74B6F" w:rsidRDefault="00EF54A2">
            <w:r>
              <w:rPr>
                <w:b/>
                <w:color w:val="3D403D"/>
                <w:lang w:val="fr-FR"/>
              </w:rPr>
              <w:t>NOM</w:t>
            </w:r>
          </w:p>
        </w:tc>
        <w:tc>
          <w:tcPr>
            <w:tcW w:w="2448" w:type="dxa"/>
            <w:shd w:val="clear" w:color="auto" w:fill="E7E6E6"/>
            <w:vAlign w:val="center"/>
          </w:tcPr>
          <w:p w14:paraId="7659CB6F" w14:textId="77777777" w:rsidR="00A74B6F" w:rsidRDefault="00EF54A2">
            <w:r>
              <w:rPr>
                <w:b/>
                <w:color w:val="3D403D"/>
                <w:lang w:val="fr-FR"/>
              </w:rPr>
              <w:t>DESCRIPTION</w:t>
            </w:r>
          </w:p>
        </w:tc>
      </w:tr>
      <w:tr w:rsidR="00A74B6F" w14:paraId="14FF5C4A" w14:textId="77777777">
        <w:trPr>
          <w:jc w:val="center"/>
        </w:trPr>
        <w:tc>
          <w:tcPr>
            <w:tcW w:w="2448" w:type="dxa"/>
          </w:tcPr>
          <w:p w14:paraId="0625573E" w14:textId="77777777" w:rsidR="00A74B6F" w:rsidRDefault="00A74B6F"/>
        </w:tc>
        <w:tc>
          <w:tcPr>
            <w:tcW w:w="2448" w:type="dxa"/>
          </w:tcPr>
          <w:p w14:paraId="6190A62F" w14:textId="77777777" w:rsidR="00A74B6F" w:rsidRDefault="00A74B6F"/>
        </w:tc>
        <w:tc>
          <w:tcPr>
            <w:tcW w:w="2448" w:type="dxa"/>
          </w:tcPr>
          <w:p w14:paraId="05444FEA" w14:textId="77777777" w:rsidR="00A74B6F" w:rsidRDefault="00A74B6F"/>
        </w:tc>
        <w:tc>
          <w:tcPr>
            <w:tcW w:w="2448" w:type="dxa"/>
          </w:tcPr>
          <w:p w14:paraId="28BA7AA2" w14:textId="77777777" w:rsidR="00A74B6F" w:rsidRDefault="00A74B6F"/>
        </w:tc>
      </w:tr>
      <w:tr w:rsidR="00A74B6F" w14:paraId="3BF0F9D8" w14:textId="77777777">
        <w:trPr>
          <w:jc w:val="center"/>
        </w:trPr>
        <w:tc>
          <w:tcPr>
            <w:tcW w:w="2448" w:type="dxa"/>
          </w:tcPr>
          <w:p w14:paraId="238448A5" w14:textId="77777777" w:rsidR="00A74B6F" w:rsidRDefault="00A74B6F"/>
        </w:tc>
        <w:tc>
          <w:tcPr>
            <w:tcW w:w="2448" w:type="dxa"/>
          </w:tcPr>
          <w:p w14:paraId="24E3998A" w14:textId="77777777" w:rsidR="00A74B6F" w:rsidRDefault="00A74B6F"/>
        </w:tc>
        <w:tc>
          <w:tcPr>
            <w:tcW w:w="2448" w:type="dxa"/>
          </w:tcPr>
          <w:p w14:paraId="4A86146E" w14:textId="77777777" w:rsidR="00A74B6F" w:rsidRDefault="00A74B6F"/>
        </w:tc>
        <w:tc>
          <w:tcPr>
            <w:tcW w:w="2448" w:type="dxa"/>
          </w:tcPr>
          <w:p w14:paraId="14CA9CE0" w14:textId="77777777" w:rsidR="00A74B6F" w:rsidRDefault="00A74B6F"/>
        </w:tc>
      </w:tr>
      <w:tr w:rsidR="00A74B6F" w14:paraId="4A666399" w14:textId="77777777">
        <w:trPr>
          <w:jc w:val="center"/>
        </w:trPr>
        <w:tc>
          <w:tcPr>
            <w:tcW w:w="2448" w:type="dxa"/>
          </w:tcPr>
          <w:p w14:paraId="26AD9D5A" w14:textId="77777777" w:rsidR="00A74B6F" w:rsidRDefault="00A74B6F"/>
        </w:tc>
        <w:tc>
          <w:tcPr>
            <w:tcW w:w="2448" w:type="dxa"/>
          </w:tcPr>
          <w:p w14:paraId="6D7A3CEA" w14:textId="77777777" w:rsidR="00A74B6F" w:rsidRDefault="00A74B6F"/>
        </w:tc>
        <w:tc>
          <w:tcPr>
            <w:tcW w:w="2448" w:type="dxa"/>
          </w:tcPr>
          <w:p w14:paraId="057FD832" w14:textId="77777777" w:rsidR="00A74B6F" w:rsidRDefault="00A74B6F"/>
        </w:tc>
        <w:tc>
          <w:tcPr>
            <w:tcW w:w="2448" w:type="dxa"/>
          </w:tcPr>
          <w:p w14:paraId="14959AF5" w14:textId="77777777" w:rsidR="00A74B6F" w:rsidRDefault="00A74B6F"/>
        </w:tc>
      </w:tr>
      <w:tr w:rsidR="00A74B6F" w14:paraId="5E96BB23" w14:textId="77777777">
        <w:trPr>
          <w:jc w:val="center"/>
        </w:trPr>
        <w:tc>
          <w:tcPr>
            <w:tcW w:w="2448" w:type="dxa"/>
          </w:tcPr>
          <w:p w14:paraId="5507C012" w14:textId="77777777" w:rsidR="00A74B6F" w:rsidRDefault="00A74B6F"/>
        </w:tc>
        <w:tc>
          <w:tcPr>
            <w:tcW w:w="2448" w:type="dxa"/>
          </w:tcPr>
          <w:p w14:paraId="25604410" w14:textId="77777777" w:rsidR="00A74B6F" w:rsidRDefault="00A74B6F"/>
        </w:tc>
        <w:tc>
          <w:tcPr>
            <w:tcW w:w="2448" w:type="dxa"/>
          </w:tcPr>
          <w:p w14:paraId="791FE543" w14:textId="77777777" w:rsidR="00A74B6F" w:rsidRDefault="00A74B6F"/>
        </w:tc>
        <w:tc>
          <w:tcPr>
            <w:tcW w:w="2448" w:type="dxa"/>
          </w:tcPr>
          <w:p w14:paraId="57AB382B" w14:textId="77777777" w:rsidR="00A74B6F" w:rsidRDefault="00A74B6F"/>
        </w:tc>
      </w:tr>
      <w:tr w:rsidR="00A74B6F" w14:paraId="7D4A87AE" w14:textId="77777777">
        <w:trPr>
          <w:jc w:val="center"/>
        </w:trPr>
        <w:tc>
          <w:tcPr>
            <w:tcW w:w="2448" w:type="dxa"/>
          </w:tcPr>
          <w:p w14:paraId="57960EAC" w14:textId="77777777" w:rsidR="00A74B6F" w:rsidRDefault="00A74B6F"/>
        </w:tc>
        <w:tc>
          <w:tcPr>
            <w:tcW w:w="2448" w:type="dxa"/>
          </w:tcPr>
          <w:p w14:paraId="32BDB7F9" w14:textId="77777777" w:rsidR="00A74B6F" w:rsidRDefault="00A74B6F"/>
        </w:tc>
        <w:tc>
          <w:tcPr>
            <w:tcW w:w="2448" w:type="dxa"/>
          </w:tcPr>
          <w:p w14:paraId="33479CFB" w14:textId="77777777" w:rsidR="00A74B6F" w:rsidRDefault="00A74B6F"/>
        </w:tc>
        <w:tc>
          <w:tcPr>
            <w:tcW w:w="2448" w:type="dxa"/>
          </w:tcPr>
          <w:p w14:paraId="5D5E14A3" w14:textId="77777777" w:rsidR="00A74B6F" w:rsidRDefault="00A74B6F"/>
        </w:tc>
      </w:tr>
      <w:tr w:rsidR="00A74B6F" w14:paraId="74538660" w14:textId="77777777">
        <w:trPr>
          <w:jc w:val="center"/>
        </w:trPr>
        <w:tc>
          <w:tcPr>
            <w:tcW w:w="2448" w:type="dxa"/>
          </w:tcPr>
          <w:p w14:paraId="2F440F94" w14:textId="77777777" w:rsidR="00A74B6F" w:rsidRDefault="00A74B6F"/>
        </w:tc>
        <w:tc>
          <w:tcPr>
            <w:tcW w:w="2448" w:type="dxa"/>
          </w:tcPr>
          <w:p w14:paraId="611673DC" w14:textId="77777777" w:rsidR="00A74B6F" w:rsidRDefault="00A74B6F"/>
        </w:tc>
        <w:tc>
          <w:tcPr>
            <w:tcW w:w="2448" w:type="dxa"/>
          </w:tcPr>
          <w:p w14:paraId="3567A99F" w14:textId="77777777" w:rsidR="00A74B6F" w:rsidRDefault="00A74B6F"/>
        </w:tc>
        <w:tc>
          <w:tcPr>
            <w:tcW w:w="2448" w:type="dxa"/>
          </w:tcPr>
          <w:p w14:paraId="64E30569" w14:textId="77777777" w:rsidR="00A74B6F" w:rsidRDefault="00A74B6F"/>
        </w:tc>
      </w:tr>
      <w:tr w:rsidR="00A74B6F" w14:paraId="4C272E4D" w14:textId="77777777">
        <w:trPr>
          <w:jc w:val="center"/>
        </w:trPr>
        <w:tc>
          <w:tcPr>
            <w:tcW w:w="2448" w:type="dxa"/>
          </w:tcPr>
          <w:p w14:paraId="43570D08" w14:textId="77777777" w:rsidR="00A74B6F" w:rsidRDefault="00A74B6F"/>
        </w:tc>
        <w:tc>
          <w:tcPr>
            <w:tcW w:w="2448" w:type="dxa"/>
          </w:tcPr>
          <w:p w14:paraId="7D9BC4FE" w14:textId="77777777" w:rsidR="00A74B6F" w:rsidRDefault="00A74B6F"/>
        </w:tc>
        <w:tc>
          <w:tcPr>
            <w:tcW w:w="2448" w:type="dxa"/>
          </w:tcPr>
          <w:p w14:paraId="5BE1435A" w14:textId="77777777" w:rsidR="00A74B6F" w:rsidRDefault="00A74B6F"/>
        </w:tc>
        <w:tc>
          <w:tcPr>
            <w:tcW w:w="2448" w:type="dxa"/>
          </w:tcPr>
          <w:p w14:paraId="6BE1AFEE" w14:textId="77777777" w:rsidR="00A74B6F" w:rsidRDefault="00A74B6F"/>
        </w:tc>
      </w:tr>
    </w:tbl>
    <w:p w14:paraId="16282F18" w14:textId="77777777" w:rsidR="00A74B6F" w:rsidRDefault="00A74B6F"/>
    <w:p w14:paraId="71BFA143" w14:textId="77777777" w:rsidR="00214D05" w:rsidRDefault="00214D05">
      <w:pPr>
        <w:rPr>
          <w:b/>
          <w:lang w:val="fr-FR"/>
        </w:rPr>
      </w:pPr>
    </w:p>
    <w:p w14:paraId="1EA36D82" w14:textId="20F1A7D0" w:rsidR="00A74B6F" w:rsidRPr="00214D05" w:rsidRDefault="00EF54A2">
      <w:pPr>
        <w:rPr>
          <w:lang w:val="fr-FR"/>
        </w:rPr>
      </w:pPr>
      <w:r>
        <w:rPr>
          <w:b/>
          <w:lang w:val="fr-FR"/>
        </w:rPr>
        <w:t xml:space="preserve">Responsable du guide : </w:t>
      </w:r>
    </w:p>
    <w:p w14:paraId="7EACDA22" w14:textId="77777777" w:rsidR="00A74B6F" w:rsidRPr="00214D05" w:rsidRDefault="00EF54A2">
      <w:pPr>
        <w:rPr>
          <w:lang w:val="fr-FR"/>
        </w:rPr>
      </w:pPr>
      <w:r>
        <w:rPr>
          <w:b/>
          <w:lang w:val="fr-FR"/>
        </w:rPr>
        <w:t xml:space="preserve">Prochaine revue : </w:t>
      </w:r>
    </w:p>
    <w:p w14:paraId="48393640" w14:textId="77777777" w:rsidR="00A74B6F" w:rsidRPr="00214D05" w:rsidRDefault="00EF54A2">
      <w:pPr>
        <w:rPr>
          <w:lang w:val="fr-FR"/>
        </w:rPr>
      </w:pPr>
      <w:r w:rsidRPr="00214D05">
        <w:rPr>
          <w:lang w:val="fr-FR"/>
        </w:rPr>
        <w:br w:type="page"/>
      </w:r>
    </w:p>
    <w:sdt>
      <w:sdtPr>
        <w:id w:val="-142281967"/>
        <w:docPartObj>
          <w:docPartGallery w:val="Table of Contents"/>
          <w:docPartUnique/>
        </w:docPartObj>
      </w:sdtPr>
      <w:sdtEndPr>
        <w:rPr>
          <w:rFonts w:ascii="Arial" w:eastAsiaTheme="minorEastAsia" w:hAnsi="Arial" w:cstheme="minorBidi"/>
          <w:noProof/>
          <w:color w:val="auto"/>
          <w:sz w:val="20"/>
          <w:szCs w:val="22"/>
        </w:rPr>
      </w:sdtEndPr>
      <w:sdtContent>
        <w:p w14:paraId="0A86A7AA" w14:textId="015C2EFC" w:rsidR="005164EC" w:rsidRDefault="005164EC">
          <w:pPr>
            <w:pStyle w:val="TOCHeading"/>
          </w:pPr>
          <w:r>
            <w:rPr>
              <w:lang w:val="fr-FR"/>
            </w:rPr>
            <w:t>Table des matières</w:t>
          </w:r>
          <w:r>
            <w:t xml:space="preserve"> </w:t>
          </w:r>
          <w:r>
            <w:br/>
          </w:r>
        </w:p>
        <w:p w14:paraId="5B21FC10" w14:textId="4E9B29DE" w:rsidR="00496F61" w:rsidRDefault="005164EC">
          <w:pPr>
            <w:pStyle w:val="TOC1"/>
            <w:tabs>
              <w:tab w:val="left" w:pos="480"/>
              <w:tab w:val="right" w:leader="dot" w:pos="9782"/>
            </w:tabs>
            <w:rPr>
              <w:rFonts w:asciiTheme="minorHAnsi" w:hAnsiTheme="minorHAnsi"/>
              <w:noProof/>
              <w:kern w:val="2"/>
              <w:sz w:val="24"/>
              <w:szCs w:val="24"/>
              <w:lang w:val="fr-FR" w:eastAsia="fr-FR"/>
              <w14:ligatures w14:val="standardContextual"/>
            </w:rPr>
          </w:pPr>
          <w:r>
            <w:fldChar w:fldCharType="begin"/>
          </w:r>
          <w:r>
            <w:instrText xml:space="preserve"> TOC \o "1-3" \h \z \u </w:instrText>
          </w:r>
          <w:r>
            <w:fldChar w:fldCharType="separate"/>
          </w:r>
          <w:hyperlink w:anchor="_Toc236062208" w:history="1">
            <w:r w:rsidR="00496F61" w:rsidRPr="008818F8">
              <w:rPr>
                <w:rStyle w:val="Hyperlink"/>
                <w:noProof/>
                <w:lang w:val="fr-FR"/>
              </w:rPr>
              <w:t>1.</w:t>
            </w:r>
            <w:r w:rsidR="00496F61">
              <w:rPr>
                <w:rFonts w:asciiTheme="minorHAnsi" w:hAnsiTheme="minorHAnsi"/>
                <w:noProof/>
                <w:kern w:val="2"/>
                <w:sz w:val="24"/>
                <w:szCs w:val="24"/>
                <w:lang w:val="fr-FR" w:eastAsia="fr-FR"/>
                <w14:ligatures w14:val="standardContextual"/>
              </w:rPr>
              <w:tab/>
            </w:r>
            <w:r w:rsidR="00496F61" w:rsidRPr="008818F8">
              <w:rPr>
                <w:rStyle w:val="Hyperlink"/>
                <w:noProof/>
                <w:lang w:val="fr-FR"/>
              </w:rPr>
              <w:t>Guide de réponse aux incidents de données</w:t>
            </w:r>
            <w:r w:rsidR="00496F61">
              <w:rPr>
                <w:noProof/>
                <w:webHidden/>
              </w:rPr>
              <w:tab/>
            </w:r>
            <w:r w:rsidR="00496F61">
              <w:rPr>
                <w:noProof/>
                <w:webHidden/>
              </w:rPr>
              <w:fldChar w:fldCharType="begin"/>
            </w:r>
            <w:r w:rsidR="00496F61">
              <w:rPr>
                <w:noProof/>
                <w:webHidden/>
              </w:rPr>
              <w:instrText xml:space="preserve"> PAGEREF _Toc236062208 \h </w:instrText>
            </w:r>
            <w:r w:rsidR="00496F61">
              <w:rPr>
                <w:noProof/>
                <w:webHidden/>
              </w:rPr>
            </w:r>
            <w:r w:rsidR="00496F61">
              <w:rPr>
                <w:noProof/>
                <w:webHidden/>
              </w:rPr>
              <w:fldChar w:fldCharType="separate"/>
            </w:r>
            <w:r w:rsidR="00496F61">
              <w:rPr>
                <w:noProof/>
                <w:webHidden/>
              </w:rPr>
              <w:t>3</w:t>
            </w:r>
            <w:r w:rsidR="00496F61">
              <w:rPr>
                <w:noProof/>
                <w:webHidden/>
              </w:rPr>
              <w:fldChar w:fldCharType="end"/>
            </w:r>
          </w:hyperlink>
        </w:p>
        <w:p w14:paraId="41CFCD13" w14:textId="327D60C7" w:rsidR="00496F61" w:rsidRDefault="00496F61">
          <w:pPr>
            <w:pStyle w:val="TOC2"/>
            <w:tabs>
              <w:tab w:val="left" w:pos="720"/>
              <w:tab w:val="right" w:leader="dot" w:pos="9782"/>
            </w:tabs>
            <w:rPr>
              <w:rFonts w:asciiTheme="minorHAnsi" w:hAnsiTheme="minorHAnsi"/>
              <w:noProof/>
              <w:kern w:val="2"/>
              <w:sz w:val="24"/>
              <w:szCs w:val="24"/>
              <w:lang w:val="fr-FR" w:eastAsia="fr-FR"/>
              <w14:ligatures w14:val="standardContextual"/>
            </w:rPr>
          </w:pPr>
          <w:hyperlink w:anchor="_Toc236062209" w:history="1">
            <w:r w:rsidRPr="008818F8">
              <w:rPr>
                <w:rStyle w:val="Hyperlink"/>
                <w:noProof/>
                <w:lang w:val="fr-FR"/>
              </w:rPr>
              <w:t>1.1</w:t>
            </w:r>
            <w:r>
              <w:rPr>
                <w:rFonts w:asciiTheme="minorHAnsi" w:hAnsiTheme="minorHAnsi"/>
                <w:noProof/>
                <w:kern w:val="2"/>
                <w:sz w:val="24"/>
                <w:szCs w:val="24"/>
                <w:lang w:val="fr-FR" w:eastAsia="fr-FR"/>
                <w14:ligatures w14:val="standardContextual"/>
              </w:rPr>
              <w:tab/>
            </w:r>
            <w:r w:rsidRPr="008818F8">
              <w:rPr>
                <w:rStyle w:val="Hyperlink"/>
                <w:noProof/>
                <w:lang w:val="fr-FR"/>
              </w:rPr>
              <w:t>Détection</w:t>
            </w:r>
            <w:r>
              <w:rPr>
                <w:noProof/>
                <w:webHidden/>
              </w:rPr>
              <w:tab/>
            </w:r>
            <w:r>
              <w:rPr>
                <w:noProof/>
                <w:webHidden/>
              </w:rPr>
              <w:fldChar w:fldCharType="begin"/>
            </w:r>
            <w:r>
              <w:rPr>
                <w:noProof/>
                <w:webHidden/>
              </w:rPr>
              <w:instrText xml:space="preserve"> PAGEREF _Toc236062209 \h </w:instrText>
            </w:r>
            <w:r>
              <w:rPr>
                <w:noProof/>
                <w:webHidden/>
              </w:rPr>
            </w:r>
            <w:r>
              <w:rPr>
                <w:noProof/>
                <w:webHidden/>
              </w:rPr>
              <w:fldChar w:fldCharType="separate"/>
            </w:r>
            <w:r>
              <w:rPr>
                <w:noProof/>
                <w:webHidden/>
              </w:rPr>
              <w:t>3</w:t>
            </w:r>
            <w:r>
              <w:rPr>
                <w:noProof/>
                <w:webHidden/>
              </w:rPr>
              <w:fldChar w:fldCharType="end"/>
            </w:r>
          </w:hyperlink>
        </w:p>
        <w:p w14:paraId="5BFB34E2" w14:textId="21797C66" w:rsidR="00496F61" w:rsidRDefault="00496F61">
          <w:pPr>
            <w:pStyle w:val="TOC2"/>
            <w:tabs>
              <w:tab w:val="left" w:pos="720"/>
              <w:tab w:val="right" w:leader="dot" w:pos="9782"/>
            </w:tabs>
            <w:rPr>
              <w:rFonts w:asciiTheme="minorHAnsi" w:hAnsiTheme="minorHAnsi"/>
              <w:noProof/>
              <w:kern w:val="2"/>
              <w:sz w:val="24"/>
              <w:szCs w:val="24"/>
              <w:lang w:val="fr-FR" w:eastAsia="fr-FR"/>
              <w14:ligatures w14:val="standardContextual"/>
            </w:rPr>
          </w:pPr>
          <w:hyperlink w:anchor="_Toc236062210" w:history="1">
            <w:r w:rsidRPr="008818F8">
              <w:rPr>
                <w:rStyle w:val="Hyperlink"/>
                <w:noProof/>
              </w:rPr>
              <w:t>1.2</w:t>
            </w:r>
            <w:r>
              <w:rPr>
                <w:rFonts w:asciiTheme="minorHAnsi" w:hAnsiTheme="minorHAnsi"/>
                <w:noProof/>
                <w:kern w:val="2"/>
                <w:sz w:val="24"/>
                <w:szCs w:val="24"/>
                <w:lang w:val="fr-FR" w:eastAsia="fr-FR"/>
                <w14:ligatures w14:val="standardContextual"/>
              </w:rPr>
              <w:tab/>
            </w:r>
            <w:r w:rsidRPr="008818F8">
              <w:rPr>
                <w:rStyle w:val="Hyperlink"/>
                <w:noProof/>
                <w:lang w:val="fr-FR"/>
              </w:rPr>
              <w:t>Rôles et responsabilités</w:t>
            </w:r>
            <w:r>
              <w:rPr>
                <w:noProof/>
                <w:webHidden/>
              </w:rPr>
              <w:tab/>
            </w:r>
            <w:r>
              <w:rPr>
                <w:noProof/>
                <w:webHidden/>
              </w:rPr>
              <w:fldChar w:fldCharType="begin"/>
            </w:r>
            <w:r>
              <w:rPr>
                <w:noProof/>
                <w:webHidden/>
              </w:rPr>
              <w:instrText xml:space="preserve"> PAGEREF _Toc236062210 \h </w:instrText>
            </w:r>
            <w:r>
              <w:rPr>
                <w:noProof/>
                <w:webHidden/>
              </w:rPr>
            </w:r>
            <w:r>
              <w:rPr>
                <w:noProof/>
                <w:webHidden/>
              </w:rPr>
              <w:fldChar w:fldCharType="separate"/>
            </w:r>
            <w:r>
              <w:rPr>
                <w:noProof/>
                <w:webHidden/>
              </w:rPr>
              <w:t>3</w:t>
            </w:r>
            <w:r>
              <w:rPr>
                <w:noProof/>
                <w:webHidden/>
              </w:rPr>
              <w:fldChar w:fldCharType="end"/>
            </w:r>
          </w:hyperlink>
        </w:p>
        <w:p w14:paraId="4F2899EB" w14:textId="1BEC5530" w:rsidR="00496F61" w:rsidRDefault="00496F61">
          <w:pPr>
            <w:pStyle w:val="TOC2"/>
            <w:tabs>
              <w:tab w:val="left" w:pos="720"/>
              <w:tab w:val="right" w:leader="dot" w:pos="9782"/>
            </w:tabs>
            <w:rPr>
              <w:rFonts w:asciiTheme="minorHAnsi" w:hAnsiTheme="minorHAnsi"/>
              <w:noProof/>
              <w:kern w:val="2"/>
              <w:sz w:val="24"/>
              <w:szCs w:val="24"/>
              <w:lang w:val="fr-FR" w:eastAsia="fr-FR"/>
              <w14:ligatures w14:val="standardContextual"/>
            </w:rPr>
          </w:pPr>
          <w:hyperlink w:anchor="_Toc236062211" w:history="1">
            <w:r w:rsidRPr="008818F8">
              <w:rPr>
                <w:rStyle w:val="Hyperlink"/>
                <w:noProof/>
                <w:lang w:val="fr-FR"/>
              </w:rPr>
              <w:t>1.3</w:t>
            </w:r>
            <w:r>
              <w:rPr>
                <w:rFonts w:asciiTheme="minorHAnsi" w:hAnsiTheme="minorHAnsi"/>
                <w:noProof/>
                <w:kern w:val="2"/>
                <w:sz w:val="24"/>
                <w:szCs w:val="24"/>
                <w:lang w:val="fr-FR" w:eastAsia="fr-FR"/>
                <w14:ligatures w14:val="standardContextual"/>
              </w:rPr>
              <w:tab/>
            </w:r>
            <w:r w:rsidRPr="008818F8">
              <w:rPr>
                <w:rStyle w:val="Hyperlink"/>
                <w:noProof/>
                <w:lang w:val="fr-FR"/>
              </w:rPr>
              <w:t>Étapes de réponse</w:t>
            </w:r>
            <w:r>
              <w:rPr>
                <w:noProof/>
                <w:webHidden/>
              </w:rPr>
              <w:tab/>
            </w:r>
            <w:r>
              <w:rPr>
                <w:noProof/>
                <w:webHidden/>
              </w:rPr>
              <w:fldChar w:fldCharType="begin"/>
            </w:r>
            <w:r>
              <w:rPr>
                <w:noProof/>
                <w:webHidden/>
              </w:rPr>
              <w:instrText xml:space="preserve"> PAGEREF _Toc236062211 \h </w:instrText>
            </w:r>
            <w:r>
              <w:rPr>
                <w:noProof/>
                <w:webHidden/>
              </w:rPr>
            </w:r>
            <w:r>
              <w:rPr>
                <w:noProof/>
                <w:webHidden/>
              </w:rPr>
              <w:fldChar w:fldCharType="separate"/>
            </w:r>
            <w:r>
              <w:rPr>
                <w:noProof/>
                <w:webHidden/>
              </w:rPr>
              <w:t>3</w:t>
            </w:r>
            <w:r>
              <w:rPr>
                <w:noProof/>
                <w:webHidden/>
              </w:rPr>
              <w:fldChar w:fldCharType="end"/>
            </w:r>
          </w:hyperlink>
        </w:p>
        <w:p w14:paraId="073FFA20" w14:textId="0D5C3474" w:rsidR="00496F61" w:rsidRDefault="00496F61">
          <w:pPr>
            <w:pStyle w:val="TOC1"/>
            <w:tabs>
              <w:tab w:val="left" w:pos="480"/>
              <w:tab w:val="right" w:leader="dot" w:pos="9782"/>
            </w:tabs>
            <w:rPr>
              <w:rFonts w:asciiTheme="minorHAnsi" w:hAnsiTheme="minorHAnsi"/>
              <w:noProof/>
              <w:kern w:val="2"/>
              <w:sz w:val="24"/>
              <w:szCs w:val="24"/>
              <w:lang w:val="fr-FR" w:eastAsia="fr-FR"/>
              <w14:ligatures w14:val="standardContextual"/>
            </w:rPr>
          </w:pPr>
          <w:hyperlink w:anchor="_Toc236062218" w:history="1">
            <w:r w:rsidRPr="008818F8">
              <w:rPr>
                <w:rStyle w:val="Hyperlink"/>
                <w:noProof/>
                <w:lang w:val="fr-FR"/>
              </w:rPr>
              <w:t>2.</w:t>
            </w:r>
            <w:r>
              <w:rPr>
                <w:rFonts w:asciiTheme="minorHAnsi" w:hAnsiTheme="minorHAnsi"/>
                <w:noProof/>
                <w:kern w:val="2"/>
                <w:sz w:val="24"/>
                <w:szCs w:val="24"/>
                <w:lang w:val="fr-FR" w:eastAsia="fr-FR"/>
                <w14:ligatures w14:val="standardContextual"/>
              </w:rPr>
              <w:tab/>
            </w:r>
            <w:r w:rsidRPr="008818F8">
              <w:rPr>
                <w:rStyle w:val="Hyperlink"/>
                <w:noProof/>
                <w:lang w:val="fr-FR"/>
              </w:rPr>
              <w:t>Annexe A : schéma du processus de réponse à un incident de données</w:t>
            </w:r>
            <w:r>
              <w:rPr>
                <w:noProof/>
                <w:webHidden/>
              </w:rPr>
              <w:tab/>
            </w:r>
            <w:r>
              <w:rPr>
                <w:noProof/>
                <w:webHidden/>
              </w:rPr>
              <w:fldChar w:fldCharType="begin"/>
            </w:r>
            <w:r>
              <w:rPr>
                <w:noProof/>
                <w:webHidden/>
              </w:rPr>
              <w:instrText xml:space="preserve"> PAGEREF _Toc236062218 \h </w:instrText>
            </w:r>
            <w:r>
              <w:rPr>
                <w:noProof/>
                <w:webHidden/>
              </w:rPr>
            </w:r>
            <w:r>
              <w:rPr>
                <w:noProof/>
                <w:webHidden/>
              </w:rPr>
              <w:fldChar w:fldCharType="separate"/>
            </w:r>
            <w:r>
              <w:rPr>
                <w:noProof/>
                <w:webHidden/>
              </w:rPr>
              <w:t>5</w:t>
            </w:r>
            <w:r>
              <w:rPr>
                <w:noProof/>
                <w:webHidden/>
              </w:rPr>
              <w:fldChar w:fldCharType="end"/>
            </w:r>
          </w:hyperlink>
        </w:p>
        <w:p w14:paraId="6ADADB3A" w14:textId="3C6B5C7E" w:rsidR="005164EC" w:rsidRDefault="005164EC">
          <w:r>
            <w:rPr>
              <w:b/>
              <w:bCs/>
              <w:noProof/>
            </w:rPr>
            <w:fldChar w:fldCharType="end"/>
          </w:r>
        </w:p>
      </w:sdtContent>
    </w:sdt>
    <w:p w14:paraId="60F52D6C" w14:textId="77777777" w:rsidR="00A74B6F" w:rsidRPr="00214D05" w:rsidRDefault="00EF54A2">
      <w:pPr>
        <w:rPr>
          <w:lang w:val="fr-FR"/>
        </w:rPr>
      </w:pPr>
      <w:r w:rsidRPr="00214D05">
        <w:rPr>
          <w:lang w:val="fr-FR"/>
        </w:rPr>
        <w:br w:type="page"/>
      </w:r>
    </w:p>
    <w:p w14:paraId="38DC79E7" w14:textId="7ED83DE2" w:rsidR="00A74B6F" w:rsidRPr="00214D05" w:rsidRDefault="00EF54A2" w:rsidP="00E23EAB">
      <w:pPr>
        <w:pStyle w:val="Heading1"/>
        <w:numPr>
          <w:ilvl w:val="0"/>
          <w:numId w:val="18"/>
        </w:numPr>
        <w:rPr>
          <w:lang w:val="fr-FR"/>
        </w:rPr>
      </w:pPr>
      <w:bookmarkStart w:id="0" w:name="_Toc236062208"/>
      <w:r>
        <w:rPr>
          <w:lang w:val="fr-FR"/>
        </w:rPr>
        <w:lastRenderedPageBreak/>
        <w:t>Guide de réponse aux incidents de données</w:t>
      </w:r>
      <w:bookmarkEnd w:id="0"/>
    </w:p>
    <w:p w14:paraId="7D3D5B72" w14:textId="3C664DFC" w:rsidR="00A74B6F" w:rsidRPr="00214D05" w:rsidRDefault="00EF54A2" w:rsidP="00B021AF">
      <w:pPr>
        <w:pStyle w:val="Heading2"/>
        <w:numPr>
          <w:ilvl w:val="1"/>
          <w:numId w:val="12"/>
        </w:numPr>
        <w:rPr>
          <w:lang w:val="fr-FR"/>
        </w:rPr>
      </w:pPr>
      <w:bookmarkStart w:id="1" w:name="_Toc236062209"/>
      <w:r>
        <w:rPr>
          <w:lang w:val="fr-FR"/>
        </w:rPr>
        <w:t>Détection</w:t>
      </w:r>
      <w:bookmarkEnd w:id="1"/>
      <w:r w:rsidR="00414CA3">
        <w:rPr>
          <w:lang w:val="fr-FR"/>
        </w:rPr>
        <w:br/>
      </w:r>
    </w:p>
    <w:p w14:paraId="35EA1E06" w14:textId="08EC987D" w:rsidR="00A74B6F" w:rsidRPr="003934DD" w:rsidRDefault="00EF54A2">
      <w:pPr>
        <w:rPr>
          <w:sz w:val="18"/>
          <w:szCs w:val="20"/>
          <w:lang w:val="fr-FR"/>
        </w:rPr>
      </w:pPr>
      <w:r w:rsidRPr="003934DD">
        <w:rPr>
          <w:sz w:val="18"/>
          <w:szCs w:val="20"/>
          <w:lang w:val="fr-FR"/>
        </w:rPr>
        <w:t xml:space="preserve">Un incident de données survient lorsqu’une partie non autorisée accède avec succès à des données des systèmes de </w:t>
      </w:r>
      <w:r w:rsidRPr="005D75F2">
        <w:rPr>
          <w:sz w:val="18"/>
          <w:szCs w:val="20"/>
          <w:highlight w:val="yellow"/>
          <w:lang w:val="fr-FR"/>
        </w:rPr>
        <w:t>[NOM DE L’ENTREPRISE]</w:t>
      </w:r>
      <w:r w:rsidRPr="003934DD">
        <w:rPr>
          <w:sz w:val="18"/>
          <w:szCs w:val="20"/>
          <w:lang w:val="fr-FR"/>
        </w:rPr>
        <w:t xml:space="preserve"> et/ou les récupère, lorsque ces données comprennent : (a) des données personnelles ; (b) des données que </w:t>
      </w:r>
      <w:r w:rsidRPr="00AC360F">
        <w:rPr>
          <w:sz w:val="18"/>
          <w:szCs w:val="20"/>
          <w:highlight w:val="yellow"/>
          <w:lang w:val="fr-FR"/>
        </w:rPr>
        <w:t>[NOM DE L’ENTREPRISE]</w:t>
      </w:r>
      <w:r w:rsidRPr="003934DD">
        <w:rPr>
          <w:sz w:val="18"/>
          <w:szCs w:val="20"/>
          <w:lang w:val="fr-FR"/>
        </w:rPr>
        <w:t xml:space="preserve"> est légalement ou contractuellement tenue de sécuriser ; ou (c) d’autres données sensibles de </w:t>
      </w:r>
      <w:r w:rsidRPr="00AC360F">
        <w:rPr>
          <w:sz w:val="18"/>
          <w:szCs w:val="20"/>
          <w:highlight w:val="yellow"/>
          <w:lang w:val="fr-FR"/>
        </w:rPr>
        <w:t>[NOM DE L’ENTREPRISE]</w:t>
      </w:r>
      <w:r w:rsidRPr="003934DD">
        <w:rPr>
          <w:sz w:val="18"/>
          <w:szCs w:val="20"/>
          <w:lang w:val="fr-FR"/>
        </w:rPr>
        <w:t xml:space="preserve"> ou données </w:t>
      </w:r>
      <w:r w:rsidR="00E23C9B" w:rsidRPr="003934DD">
        <w:rPr>
          <w:sz w:val="18"/>
          <w:szCs w:val="20"/>
          <w:lang w:val="fr-FR"/>
        </w:rPr>
        <w:t>métiers sensibles</w:t>
      </w:r>
      <w:r w:rsidRPr="003934DD">
        <w:rPr>
          <w:sz w:val="18"/>
          <w:szCs w:val="20"/>
          <w:lang w:val="fr-FR"/>
        </w:rPr>
        <w:t xml:space="preserve"> de clients.</w:t>
      </w:r>
    </w:p>
    <w:p w14:paraId="718E9E86" w14:textId="77777777" w:rsidR="00A74B6F" w:rsidRPr="003934DD" w:rsidRDefault="00EF54A2">
      <w:pPr>
        <w:rPr>
          <w:sz w:val="18"/>
          <w:szCs w:val="20"/>
          <w:lang w:val="fr-FR"/>
        </w:rPr>
      </w:pPr>
      <w:r w:rsidRPr="003934DD">
        <w:rPr>
          <w:sz w:val="18"/>
          <w:szCs w:val="20"/>
          <w:lang w:val="fr-FR"/>
        </w:rPr>
        <w:t>Les incidents de données surviennent souvent dans le cadre d’un incident cyber plus large. Les étapes décrites ci-dessous s’ajoutent à toute action requise pour traiter l’incident plus large, conformément au Plan de réponse aux incidents de cybersécurité et/ou aux autres guides.</w:t>
      </w:r>
    </w:p>
    <w:p w14:paraId="07646C6D" w14:textId="0C1D34F4" w:rsidR="00A74B6F" w:rsidRDefault="00EF54A2" w:rsidP="00AC360F">
      <w:pPr>
        <w:pStyle w:val="Heading2"/>
        <w:numPr>
          <w:ilvl w:val="1"/>
          <w:numId w:val="12"/>
        </w:numPr>
      </w:pPr>
      <w:bookmarkStart w:id="2" w:name="_Toc236062210"/>
      <w:r>
        <w:rPr>
          <w:lang w:val="fr-FR"/>
        </w:rPr>
        <w:t>Rôles et responsabilités</w:t>
      </w:r>
      <w:bookmarkEnd w:id="2"/>
      <w:r w:rsidR="00AC360F">
        <w:rPr>
          <w:lang w:val="fr-FR"/>
        </w:rPr>
        <w:br/>
      </w:r>
    </w:p>
    <w:p w14:paraId="32A03AE2" w14:textId="77777777" w:rsidR="00A74B6F" w:rsidRPr="00AC360F" w:rsidRDefault="00EF54A2" w:rsidP="00AC360F">
      <w:pPr>
        <w:pStyle w:val="ListBullet"/>
        <w:numPr>
          <w:ilvl w:val="0"/>
          <w:numId w:val="14"/>
        </w:numPr>
        <w:rPr>
          <w:sz w:val="18"/>
          <w:szCs w:val="20"/>
          <w:lang w:val="fr-FR"/>
        </w:rPr>
      </w:pPr>
      <w:r w:rsidRPr="00AC360F">
        <w:rPr>
          <w:sz w:val="18"/>
          <w:szCs w:val="20"/>
          <w:lang w:val="fr-FR"/>
        </w:rPr>
        <w:t>Les rôles et responsabilités de l’équipe de réponse aux incidents de cybersécurité (CSIRT) sont définis à la section 3 du Plan de réponse aux incidents de cybersécurité.</w:t>
      </w:r>
    </w:p>
    <w:p w14:paraId="47FFCD2A" w14:textId="77777777" w:rsidR="00A74B6F" w:rsidRPr="00AC360F" w:rsidRDefault="00EF54A2" w:rsidP="00AC360F">
      <w:pPr>
        <w:pStyle w:val="ListBullet"/>
        <w:numPr>
          <w:ilvl w:val="0"/>
          <w:numId w:val="14"/>
        </w:numPr>
        <w:rPr>
          <w:sz w:val="18"/>
          <w:szCs w:val="20"/>
          <w:lang w:val="fr-FR"/>
        </w:rPr>
      </w:pPr>
      <w:r w:rsidRPr="00AC360F">
        <w:rPr>
          <w:sz w:val="18"/>
          <w:szCs w:val="20"/>
          <w:lang w:val="fr-FR"/>
        </w:rPr>
        <w:t xml:space="preserve">Tout incident de données doit être escaladé à </w:t>
      </w:r>
      <w:r w:rsidRPr="00AC360F">
        <w:rPr>
          <w:sz w:val="18"/>
          <w:szCs w:val="20"/>
          <w:highlight w:val="yellow"/>
          <w:lang w:val="fr-FR"/>
        </w:rPr>
        <w:t>[Équipe de direction]</w:t>
      </w:r>
      <w:r w:rsidRPr="00AC360F">
        <w:rPr>
          <w:sz w:val="18"/>
          <w:szCs w:val="20"/>
          <w:lang w:val="fr-FR"/>
        </w:rPr>
        <w:t xml:space="preserve"> conformément au Plan de réponse aux incidents de cybersécurité de l’organisation.</w:t>
      </w:r>
    </w:p>
    <w:p w14:paraId="3B6E8EAA" w14:textId="59F073B5" w:rsidR="00A74B6F" w:rsidRPr="00AC360F" w:rsidRDefault="00EF54A2" w:rsidP="00AC360F">
      <w:pPr>
        <w:pStyle w:val="ListBullet"/>
        <w:numPr>
          <w:ilvl w:val="0"/>
          <w:numId w:val="14"/>
        </w:numPr>
        <w:rPr>
          <w:sz w:val="18"/>
          <w:szCs w:val="20"/>
          <w:lang w:val="fr-FR"/>
        </w:rPr>
      </w:pPr>
      <w:r w:rsidRPr="00AC360F">
        <w:rPr>
          <w:sz w:val="18"/>
          <w:szCs w:val="20"/>
          <w:highlight w:val="yellow"/>
          <w:lang w:val="fr-FR"/>
        </w:rPr>
        <w:t>[RÔLE JURIDIQUE ET PROTECTION DES DONNÉES APPROPRIÉ]</w:t>
      </w:r>
      <w:r w:rsidRPr="00AC360F">
        <w:rPr>
          <w:sz w:val="18"/>
          <w:szCs w:val="20"/>
          <w:lang w:val="fr-FR"/>
        </w:rPr>
        <w:t xml:space="preserve"> et/ou tout conseiller juridique externe </w:t>
      </w:r>
      <w:r w:rsidR="00AC360F" w:rsidRPr="00AC360F">
        <w:rPr>
          <w:sz w:val="18"/>
          <w:szCs w:val="20"/>
          <w:lang w:val="fr-FR"/>
        </w:rPr>
        <w:t>doit</w:t>
      </w:r>
      <w:r w:rsidRPr="00AC360F">
        <w:rPr>
          <w:sz w:val="18"/>
          <w:szCs w:val="20"/>
          <w:lang w:val="fr-FR"/>
        </w:rPr>
        <w:t xml:space="preserve"> être impliqués dans le processus de réponse à l’incident, selon les besoins, afin de soutenir les questions juridiques et réglementaires.</w:t>
      </w:r>
    </w:p>
    <w:p w14:paraId="1B63D166" w14:textId="50425883" w:rsidR="00A74B6F" w:rsidRPr="00214D05" w:rsidRDefault="00EF54A2" w:rsidP="00F84508">
      <w:pPr>
        <w:pStyle w:val="Heading2"/>
        <w:numPr>
          <w:ilvl w:val="1"/>
          <w:numId w:val="12"/>
        </w:numPr>
        <w:rPr>
          <w:lang w:val="fr-FR"/>
        </w:rPr>
      </w:pPr>
      <w:bookmarkStart w:id="3" w:name="_Toc236062211"/>
      <w:r>
        <w:rPr>
          <w:lang w:val="fr-FR"/>
        </w:rPr>
        <w:t>Étapes de réponse</w:t>
      </w:r>
      <w:bookmarkEnd w:id="3"/>
      <w:r w:rsidR="00F84508">
        <w:rPr>
          <w:lang w:val="fr-FR"/>
        </w:rPr>
        <w:br/>
      </w:r>
    </w:p>
    <w:p w14:paraId="5F64EE06" w14:textId="77777777" w:rsidR="00A74B6F" w:rsidRPr="00F84508" w:rsidRDefault="00EF54A2">
      <w:pPr>
        <w:rPr>
          <w:sz w:val="18"/>
          <w:szCs w:val="20"/>
          <w:lang w:val="fr-FR"/>
        </w:rPr>
      </w:pPr>
      <w:r w:rsidRPr="00F84508">
        <w:rPr>
          <w:sz w:val="18"/>
          <w:szCs w:val="20"/>
          <w:lang w:val="fr-FR"/>
        </w:rPr>
        <w:t>Un schéma fournissant des orientations supplémentaires est inclus à la fin de ce guide.</w:t>
      </w:r>
    </w:p>
    <w:p w14:paraId="3E0C5052" w14:textId="0B7AFAB1" w:rsidR="00A74B6F" w:rsidRPr="00214D05" w:rsidRDefault="00F84508">
      <w:pPr>
        <w:pStyle w:val="Heading2"/>
        <w:rPr>
          <w:lang w:val="fr-FR"/>
        </w:rPr>
      </w:pPr>
      <w:bookmarkStart w:id="4" w:name="_Toc236062212"/>
      <w:r>
        <w:rPr>
          <w:lang w:val="fr-FR"/>
        </w:rPr>
        <w:t>Isolement</w:t>
      </w:r>
      <w:r w:rsidR="00EF54A2">
        <w:rPr>
          <w:lang w:val="fr-FR"/>
        </w:rPr>
        <w:t xml:space="preserve"> initial</w:t>
      </w:r>
      <w:bookmarkEnd w:id="4"/>
      <w:r>
        <w:rPr>
          <w:lang w:val="fr-FR"/>
        </w:rPr>
        <w:br/>
      </w:r>
    </w:p>
    <w:p w14:paraId="79722217" w14:textId="05BF004B" w:rsidR="00A74B6F" w:rsidRPr="00F84508" w:rsidRDefault="00EF54A2">
      <w:pPr>
        <w:rPr>
          <w:sz w:val="18"/>
          <w:szCs w:val="20"/>
          <w:lang w:val="fr-FR"/>
        </w:rPr>
      </w:pPr>
      <w:r w:rsidRPr="00F84508">
        <w:rPr>
          <w:sz w:val="18"/>
          <w:szCs w:val="20"/>
          <w:lang w:val="fr-FR"/>
        </w:rPr>
        <w:t>L</w:t>
      </w:r>
      <w:r w:rsidR="00F84508" w:rsidRPr="00F84508">
        <w:rPr>
          <w:sz w:val="18"/>
          <w:szCs w:val="20"/>
          <w:lang w:val="fr-FR"/>
        </w:rPr>
        <w:t xml:space="preserve">’isolement </w:t>
      </w:r>
      <w:r w:rsidRPr="00F84508">
        <w:rPr>
          <w:sz w:val="18"/>
          <w:szCs w:val="20"/>
          <w:lang w:val="fr-FR"/>
        </w:rPr>
        <w:t>doit être réalisé de manière appropriée selon le type d’incident cyber. En priorité, tout nouvel accès non autorisé, toute perte ou tout transfert de données doivent être empêchés. Les accès réseau ou utilisateur doivent être désactivés si nécessaire pour atteindre cet objectif.</w:t>
      </w:r>
    </w:p>
    <w:p w14:paraId="2A92D76D" w14:textId="07F009AF" w:rsidR="00A74B6F" w:rsidRPr="00214D05" w:rsidRDefault="00EF54A2">
      <w:pPr>
        <w:pStyle w:val="Heading2"/>
        <w:rPr>
          <w:lang w:val="fr-FR"/>
        </w:rPr>
      </w:pPr>
      <w:bookmarkStart w:id="5" w:name="_Toc236062213"/>
      <w:r>
        <w:rPr>
          <w:lang w:val="fr-FR"/>
        </w:rPr>
        <w:t>Escalade</w:t>
      </w:r>
      <w:bookmarkEnd w:id="5"/>
      <w:r w:rsidR="00F84508">
        <w:rPr>
          <w:lang w:val="fr-FR"/>
        </w:rPr>
        <w:br/>
      </w:r>
    </w:p>
    <w:p w14:paraId="5E5F28DE" w14:textId="77777777" w:rsidR="00A74B6F" w:rsidRPr="00962E84" w:rsidRDefault="00EF54A2">
      <w:pPr>
        <w:rPr>
          <w:sz w:val="18"/>
          <w:szCs w:val="20"/>
        </w:rPr>
      </w:pPr>
      <w:r w:rsidRPr="00962E84">
        <w:rPr>
          <w:sz w:val="18"/>
          <w:szCs w:val="20"/>
          <w:lang w:val="fr-FR"/>
        </w:rPr>
        <w:t>L’incident doit être trié et escaladé conformément aux sections 4.2 et 4.3 du Plan de réponse aux incidents de cybersécurité. En outre :</w:t>
      </w:r>
    </w:p>
    <w:p w14:paraId="03AFB64D" w14:textId="77777777" w:rsidR="00A74B6F" w:rsidRPr="00962E84" w:rsidRDefault="00EF54A2" w:rsidP="00962E84">
      <w:pPr>
        <w:pStyle w:val="ListBullet"/>
        <w:numPr>
          <w:ilvl w:val="0"/>
          <w:numId w:val="15"/>
        </w:numPr>
        <w:rPr>
          <w:sz w:val="18"/>
          <w:szCs w:val="20"/>
          <w:lang w:val="fr-FR"/>
        </w:rPr>
      </w:pPr>
      <w:r w:rsidRPr="00962E84">
        <w:rPr>
          <w:sz w:val="18"/>
          <w:szCs w:val="20"/>
          <w:lang w:val="fr-FR"/>
        </w:rPr>
        <w:t>Lorsqu’un incident impliquant des données personnelles ou d’autres données sensibles est détecté, le Conseiller général doit être informé dès que possible.</w:t>
      </w:r>
    </w:p>
    <w:p w14:paraId="06F15FCC" w14:textId="77777777" w:rsidR="00A74B6F" w:rsidRPr="00962E84" w:rsidRDefault="00EF54A2" w:rsidP="00962E84">
      <w:pPr>
        <w:pStyle w:val="ListBullet"/>
        <w:numPr>
          <w:ilvl w:val="0"/>
          <w:numId w:val="15"/>
        </w:numPr>
        <w:rPr>
          <w:sz w:val="18"/>
          <w:szCs w:val="20"/>
          <w:lang w:val="fr-FR"/>
        </w:rPr>
      </w:pPr>
      <w:r w:rsidRPr="00962E84">
        <w:rPr>
          <w:sz w:val="18"/>
          <w:szCs w:val="20"/>
          <w:lang w:val="fr-FR"/>
        </w:rPr>
        <w:t>Si un conseiller juridique externe soutient la réponse à l’incident, il doit également être informé de tout incident de données, en même temps que les parties mentionnées ci-dessus.</w:t>
      </w:r>
    </w:p>
    <w:p w14:paraId="74F4D4F2" w14:textId="77777777" w:rsidR="00A74B6F" w:rsidRPr="00962E84" w:rsidRDefault="00EF54A2" w:rsidP="00962E84">
      <w:pPr>
        <w:pStyle w:val="ListBullet"/>
        <w:numPr>
          <w:ilvl w:val="0"/>
          <w:numId w:val="15"/>
        </w:numPr>
        <w:rPr>
          <w:sz w:val="18"/>
          <w:szCs w:val="20"/>
          <w:lang w:val="fr-FR"/>
        </w:rPr>
      </w:pPr>
      <w:r w:rsidRPr="00962E84">
        <w:rPr>
          <w:sz w:val="18"/>
          <w:szCs w:val="20"/>
          <w:lang w:val="fr-FR"/>
        </w:rPr>
        <w:t>Si aucun conseiller externe n’est mobilisé, l’Équipe de direction doit déterminer si un soutien juridique supplémentaire est nécessaire au regard de l’incident de données.</w:t>
      </w:r>
    </w:p>
    <w:p w14:paraId="6F9A3ED3" w14:textId="4BB97CA9" w:rsidR="00A74B6F" w:rsidRPr="00214D05" w:rsidRDefault="00EF54A2">
      <w:pPr>
        <w:pStyle w:val="Heading2"/>
        <w:rPr>
          <w:lang w:val="fr-FR"/>
        </w:rPr>
      </w:pPr>
      <w:bookmarkStart w:id="6" w:name="_Toc236062214"/>
      <w:r>
        <w:rPr>
          <w:lang w:val="fr-FR"/>
        </w:rPr>
        <w:t>Collecte des preuves</w:t>
      </w:r>
      <w:bookmarkEnd w:id="6"/>
      <w:r w:rsidR="00800D59">
        <w:rPr>
          <w:lang w:val="fr-FR"/>
        </w:rPr>
        <w:br/>
      </w:r>
    </w:p>
    <w:p w14:paraId="0B6908AF" w14:textId="77777777" w:rsidR="00A74B6F" w:rsidRPr="00800D59" w:rsidRDefault="00EF54A2">
      <w:pPr>
        <w:rPr>
          <w:sz w:val="18"/>
          <w:szCs w:val="20"/>
          <w:lang w:val="fr-FR"/>
        </w:rPr>
      </w:pPr>
      <w:r w:rsidRPr="00800D59">
        <w:rPr>
          <w:sz w:val="18"/>
          <w:szCs w:val="20"/>
          <w:lang w:val="fr-FR"/>
        </w:rPr>
        <w:t>La collecte des preuves dépendra de la nature de l’incident.</w:t>
      </w:r>
    </w:p>
    <w:p w14:paraId="577EE7EE" w14:textId="77777777" w:rsidR="00A74B6F" w:rsidRPr="00800D59" w:rsidRDefault="00EF54A2">
      <w:pPr>
        <w:rPr>
          <w:sz w:val="18"/>
          <w:szCs w:val="20"/>
          <w:lang w:val="fr-FR"/>
        </w:rPr>
      </w:pPr>
      <w:r w:rsidRPr="00800D59">
        <w:rPr>
          <w:sz w:val="18"/>
          <w:szCs w:val="20"/>
          <w:lang w:val="fr-FR"/>
        </w:rPr>
        <w:lastRenderedPageBreak/>
        <w:t>Une collecte de preuves supplémentaire afin d’appuyer les déclarations réglementaires et la compréhension de la responsabilité juridique potentielle peut être requise ou recommandée par le Conseiller général ou par un conseiller juridique externe :</w:t>
      </w:r>
    </w:p>
    <w:p w14:paraId="3A9484CE" w14:textId="77777777" w:rsidR="00A74B6F" w:rsidRPr="00800D59" w:rsidRDefault="00EF54A2" w:rsidP="00E0294E">
      <w:pPr>
        <w:pStyle w:val="ListBullet"/>
        <w:numPr>
          <w:ilvl w:val="0"/>
          <w:numId w:val="16"/>
        </w:numPr>
        <w:rPr>
          <w:sz w:val="18"/>
          <w:szCs w:val="20"/>
          <w:lang w:val="fr-FR"/>
        </w:rPr>
      </w:pPr>
      <w:r w:rsidRPr="00800D59">
        <w:rPr>
          <w:sz w:val="18"/>
          <w:szCs w:val="20"/>
          <w:lang w:val="fr-FR"/>
        </w:rPr>
        <w:t>Les preuves doivent être collectées et conservées de manière appropriée et conforme aux exigences forensiques, avec le soutien d’un prestataire externe de réponse cyber et les conseils d’un conseiller juridique externe si nécessaire.</w:t>
      </w:r>
    </w:p>
    <w:p w14:paraId="6EB7A987" w14:textId="77777777" w:rsidR="00A74B6F" w:rsidRPr="00800D59" w:rsidRDefault="00EF54A2" w:rsidP="00E0294E">
      <w:pPr>
        <w:pStyle w:val="ListBullet"/>
        <w:numPr>
          <w:ilvl w:val="0"/>
          <w:numId w:val="16"/>
        </w:numPr>
        <w:rPr>
          <w:sz w:val="18"/>
          <w:szCs w:val="20"/>
          <w:lang w:val="fr-FR"/>
        </w:rPr>
      </w:pPr>
      <w:r w:rsidRPr="00800D59">
        <w:rPr>
          <w:sz w:val="18"/>
          <w:szCs w:val="20"/>
          <w:lang w:val="fr-FR"/>
        </w:rPr>
        <w:t>Lorsque la collecte des preuves doit être mise en balance avec d’autres priorités, l’avis du Conseiller général ou d’un conseiller juridique externe doit être sollicité, le cas échéant, afin de garantir qu’une décision éclairée soit prise.</w:t>
      </w:r>
    </w:p>
    <w:p w14:paraId="16EF7FF4" w14:textId="0B3F1000" w:rsidR="00A74B6F" w:rsidRPr="00214D05" w:rsidRDefault="00EF54A2">
      <w:pPr>
        <w:pStyle w:val="Heading2"/>
        <w:rPr>
          <w:lang w:val="fr-FR"/>
        </w:rPr>
      </w:pPr>
      <w:bookmarkStart w:id="7" w:name="_Toc236062215"/>
      <w:r>
        <w:rPr>
          <w:lang w:val="fr-FR"/>
        </w:rPr>
        <w:t>Analyse</w:t>
      </w:r>
      <w:bookmarkEnd w:id="7"/>
      <w:r w:rsidR="00E0294E">
        <w:rPr>
          <w:lang w:val="fr-FR"/>
        </w:rPr>
        <w:br/>
      </w:r>
    </w:p>
    <w:p w14:paraId="7D0C7A4B" w14:textId="77777777" w:rsidR="00A74B6F" w:rsidRPr="006338CF" w:rsidRDefault="00EF54A2">
      <w:pPr>
        <w:rPr>
          <w:sz w:val="18"/>
          <w:szCs w:val="20"/>
          <w:lang w:val="fr-FR"/>
        </w:rPr>
      </w:pPr>
      <w:r w:rsidRPr="006338CF">
        <w:rPr>
          <w:sz w:val="18"/>
          <w:szCs w:val="20"/>
          <w:lang w:val="fr-FR"/>
        </w:rPr>
        <w:t xml:space="preserve">Le </w:t>
      </w:r>
      <w:r w:rsidRPr="006338CF">
        <w:rPr>
          <w:sz w:val="18"/>
          <w:szCs w:val="20"/>
          <w:highlight w:val="yellow"/>
          <w:lang w:val="fr-FR"/>
        </w:rPr>
        <w:t>Conseiller général</w:t>
      </w:r>
      <w:r w:rsidRPr="006338CF">
        <w:rPr>
          <w:sz w:val="18"/>
          <w:szCs w:val="20"/>
          <w:lang w:val="fr-FR"/>
        </w:rPr>
        <w:t>, avec le soutien d’un conseiller juridique externe le cas échéant, évaluera l’étendue de tout incident de données ainsi que la pertinence de toute exigence contractuelle, réglementaire ou autre obligation de déclaration, sur la base des preuves disponibles.</w:t>
      </w:r>
    </w:p>
    <w:p w14:paraId="62BC9A76" w14:textId="77777777" w:rsidR="00A74B6F" w:rsidRPr="006338CF" w:rsidRDefault="00EF54A2">
      <w:pPr>
        <w:rPr>
          <w:sz w:val="18"/>
          <w:szCs w:val="20"/>
          <w:lang w:val="fr-FR"/>
        </w:rPr>
      </w:pPr>
      <w:r w:rsidRPr="006338CF">
        <w:rPr>
          <w:sz w:val="18"/>
          <w:szCs w:val="20"/>
          <w:lang w:val="fr-FR"/>
        </w:rPr>
        <w:t>Une analyse supplémentaire des preuves techniques, y compris par exemple des investigations eDiscovery visant à identifier toute donnée personnelle affectée, peut être nécessaire pour soutenir cette évaluation ; cette analyse doit être réalisée par une équipe ou organisation appropriée, pouvant être externalisée si nécessaire.</w:t>
      </w:r>
    </w:p>
    <w:p w14:paraId="787E8D96" w14:textId="1B71AA0A" w:rsidR="00A74B6F" w:rsidRPr="00214D05" w:rsidRDefault="00EF54A2">
      <w:pPr>
        <w:pStyle w:val="Heading2"/>
        <w:rPr>
          <w:lang w:val="fr-FR"/>
        </w:rPr>
      </w:pPr>
      <w:bookmarkStart w:id="8" w:name="_Toc236062216"/>
      <w:r>
        <w:rPr>
          <w:lang w:val="fr-FR"/>
        </w:rPr>
        <w:t>Déclaration et communication</w:t>
      </w:r>
      <w:bookmarkEnd w:id="8"/>
      <w:r w:rsidR="006338CF">
        <w:rPr>
          <w:lang w:val="fr-FR"/>
        </w:rPr>
        <w:br/>
      </w:r>
    </w:p>
    <w:p w14:paraId="2A0AA2D6" w14:textId="77777777" w:rsidR="00A74B6F" w:rsidRPr="006338CF" w:rsidRDefault="00EF54A2">
      <w:pPr>
        <w:rPr>
          <w:sz w:val="18"/>
          <w:szCs w:val="20"/>
          <w:lang w:val="fr-FR"/>
        </w:rPr>
      </w:pPr>
      <w:r w:rsidRPr="006338CF">
        <w:rPr>
          <w:sz w:val="18"/>
          <w:szCs w:val="20"/>
          <w:lang w:val="fr-FR"/>
        </w:rPr>
        <w:t xml:space="preserve">Le </w:t>
      </w:r>
      <w:r w:rsidRPr="006338CF">
        <w:rPr>
          <w:sz w:val="18"/>
          <w:szCs w:val="20"/>
          <w:highlight w:val="yellow"/>
          <w:lang w:val="fr-FR"/>
        </w:rPr>
        <w:t>Conseiller général</w:t>
      </w:r>
      <w:r w:rsidRPr="006338CF">
        <w:rPr>
          <w:sz w:val="18"/>
          <w:szCs w:val="20"/>
          <w:lang w:val="fr-FR"/>
        </w:rPr>
        <w:t>, avec le soutien d’un conseiller juridique externe le cas échéant, doit identifier toute exigence de déclaration ou autre action découlant de l’incident de données.</w:t>
      </w:r>
    </w:p>
    <w:p w14:paraId="7515C295" w14:textId="77777777" w:rsidR="00A74B6F" w:rsidRPr="006338CF" w:rsidRDefault="00EF54A2" w:rsidP="006338CF">
      <w:pPr>
        <w:pStyle w:val="ListBullet"/>
        <w:numPr>
          <w:ilvl w:val="0"/>
          <w:numId w:val="17"/>
        </w:numPr>
        <w:rPr>
          <w:sz w:val="18"/>
          <w:szCs w:val="20"/>
          <w:lang w:val="fr-FR"/>
        </w:rPr>
      </w:pPr>
      <w:r w:rsidRPr="006338CF">
        <w:rPr>
          <w:sz w:val="18"/>
          <w:szCs w:val="20"/>
          <w:lang w:val="fr-FR"/>
        </w:rPr>
        <w:t xml:space="preserve">Si un incident relatif à des données personnelles s’est produit, le </w:t>
      </w:r>
      <w:r w:rsidRPr="006338CF">
        <w:rPr>
          <w:sz w:val="18"/>
          <w:szCs w:val="20"/>
          <w:highlight w:val="yellow"/>
          <w:lang w:val="fr-FR"/>
        </w:rPr>
        <w:t>Conseiller général</w:t>
      </w:r>
      <w:r w:rsidRPr="006338CF">
        <w:rPr>
          <w:sz w:val="18"/>
          <w:szCs w:val="20"/>
          <w:lang w:val="fr-FR"/>
        </w:rPr>
        <w:t xml:space="preserve">, avec le soutien d’un conseiller juridique externe le cas échéant et après consultation de </w:t>
      </w:r>
      <w:r w:rsidRPr="00BB28F6">
        <w:rPr>
          <w:sz w:val="18"/>
          <w:szCs w:val="20"/>
          <w:highlight w:val="yellow"/>
          <w:lang w:val="fr-FR"/>
        </w:rPr>
        <w:t>[Équipe de direction]</w:t>
      </w:r>
      <w:r w:rsidRPr="006338CF">
        <w:rPr>
          <w:sz w:val="18"/>
          <w:szCs w:val="20"/>
          <w:lang w:val="fr-FR"/>
        </w:rPr>
        <w:t xml:space="preserve"> ainsi qu’une validation appropriée de la direction si nécessaire, effectuera les déclarations et notifications appropriées auprès de toutes les autorités réglementaires concernées.</w:t>
      </w:r>
    </w:p>
    <w:p w14:paraId="5ED6BBF9" w14:textId="77777777" w:rsidR="00A74B6F" w:rsidRPr="006338CF" w:rsidRDefault="00EF54A2" w:rsidP="006338CF">
      <w:pPr>
        <w:pStyle w:val="ListBullet"/>
        <w:numPr>
          <w:ilvl w:val="0"/>
          <w:numId w:val="17"/>
        </w:numPr>
        <w:rPr>
          <w:sz w:val="18"/>
          <w:szCs w:val="20"/>
          <w:lang w:val="fr-FR"/>
        </w:rPr>
      </w:pPr>
      <w:r w:rsidRPr="006338CF">
        <w:rPr>
          <w:sz w:val="18"/>
          <w:szCs w:val="20"/>
          <w:lang w:val="fr-FR"/>
        </w:rPr>
        <w:t>Ces membres de l’équipe détermineront également, au fur et à mesure de l’avancement de la réponse, quelles divulgations supplémentaires aux personnes concernées, propriétaires de données et autres parties affectées sont requises ou appropriées.</w:t>
      </w:r>
    </w:p>
    <w:p w14:paraId="6EF62462" w14:textId="68CA900E" w:rsidR="00A74B6F" w:rsidRPr="006338CF" w:rsidRDefault="00EF54A2" w:rsidP="006338CF">
      <w:pPr>
        <w:pStyle w:val="ListBullet"/>
        <w:numPr>
          <w:ilvl w:val="0"/>
          <w:numId w:val="17"/>
        </w:numPr>
        <w:rPr>
          <w:sz w:val="18"/>
          <w:szCs w:val="20"/>
          <w:lang w:val="fr-FR"/>
        </w:rPr>
      </w:pPr>
      <w:r w:rsidRPr="006338CF">
        <w:rPr>
          <w:sz w:val="18"/>
          <w:szCs w:val="20"/>
          <w:lang w:val="fr-FR"/>
        </w:rPr>
        <w:t xml:space="preserve">Une divulgation ou communication au public, aux médias, aux forces de l’ordre ou à d’autres tiers peut également être requise ou appropriée. La nature, le contenu et la méthode de communication de toute divulgation doivent être convenus par la Direction, avec le soutien, le cas échéant, d’un conseiller juridique externe ou d’autres spécialistes appropriés, avant toute communication. Toute validation requise et/ou toute assistance pour l’envoi des communications par les canaux appropriés </w:t>
      </w:r>
      <w:r w:rsidR="004841FC" w:rsidRPr="006338CF">
        <w:rPr>
          <w:sz w:val="18"/>
          <w:szCs w:val="20"/>
          <w:lang w:val="fr-FR"/>
        </w:rPr>
        <w:t>doit</w:t>
      </w:r>
      <w:r w:rsidRPr="006338CF">
        <w:rPr>
          <w:sz w:val="18"/>
          <w:szCs w:val="20"/>
          <w:lang w:val="fr-FR"/>
        </w:rPr>
        <w:t xml:space="preserve"> être sollicitées auprès d’autres employés de </w:t>
      </w:r>
      <w:r w:rsidRPr="004841FC">
        <w:rPr>
          <w:sz w:val="18"/>
          <w:szCs w:val="20"/>
          <w:highlight w:val="yellow"/>
          <w:lang w:val="fr-FR"/>
        </w:rPr>
        <w:t>[NOM DE</w:t>
      </w:r>
      <w:r w:rsidRPr="006338CF">
        <w:rPr>
          <w:sz w:val="18"/>
          <w:szCs w:val="20"/>
          <w:lang w:val="fr-FR"/>
        </w:rPr>
        <w:t xml:space="preserve"> </w:t>
      </w:r>
      <w:r w:rsidRPr="004841FC">
        <w:rPr>
          <w:sz w:val="18"/>
          <w:szCs w:val="20"/>
          <w:highlight w:val="yellow"/>
          <w:lang w:val="fr-FR"/>
        </w:rPr>
        <w:t>L’ENTREPRISE],</w:t>
      </w:r>
      <w:r w:rsidRPr="006338CF">
        <w:rPr>
          <w:sz w:val="18"/>
          <w:szCs w:val="20"/>
          <w:lang w:val="fr-FR"/>
        </w:rPr>
        <w:t xml:space="preserve"> le cas échéant.</w:t>
      </w:r>
    </w:p>
    <w:p w14:paraId="73DEB723" w14:textId="58982CFF" w:rsidR="00A74B6F" w:rsidRPr="00214D05" w:rsidRDefault="00EF54A2">
      <w:pPr>
        <w:pStyle w:val="Heading2"/>
        <w:rPr>
          <w:lang w:val="fr-FR"/>
        </w:rPr>
      </w:pPr>
      <w:bookmarkStart w:id="9" w:name="_Toc236062217"/>
      <w:r>
        <w:rPr>
          <w:lang w:val="fr-FR"/>
        </w:rPr>
        <w:t>Revue post-incident</w:t>
      </w:r>
      <w:bookmarkEnd w:id="9"/>
      <w:r w:rsidR="00E1314C">
        <w:rPr>
          <w:lang w:val="fr-FR"/>
        </w:rPr>
        <w:br/>
      </w:r>
    </w:p>
    <w:p w14:paraId="4224BD84" w14:textId="77777777" w:rsidR="00A74B6F" w:rsidRPr="00E1314C" w:rsidRDefault="00EF54A2">
      <w:pPr>
        <w:rPr>
          <w:sz w:val="18"/>
          <w:szCs w:val="20"/>
          <w:lang w:val="fr-FR"/>
        </w:rPr>
      </w:pPr>
      <w:r w:rsidRPr="00E1314C">
        <w:rPr>
          <w:sz w:val="18"/>
          <w:szCs w:val="20"/>
          <w:lang w:val="fr-FR"/>
        </w:rPr>
        <w:t>Pour les incidents classés P1 à P3, ou lorsqu’une telle revue est considérée comme recommandée à des fins juridiques, une revue post-incident doit être réalisée conformément à la section 4.7 du Plan de réponse aux incidents de cybersécurité.</w:t>
      </w:r>
    </w:p>
    <w:p w14:paraId="168737EA" w14:textId="77777777" w:rsidR="00A74B6F" w:rsidRPr="00E1314C" w:rsidRDefault="00EF54A2">
      <w:pPr>
        <w:rPr>
          <w:sz w:val="18"/>
          <w:szCs w:val="20"/>
          <w:lang w:val="fr-FR"/>
        </w:rPr>
      </w:pPr>
      <w:r w:rsidRPr="00E1314C">
        <w:rPr>
          <w:sz w:val="18"/>
          <w:szCs w:val="20"/>
          <w:lang w:val="fr-FR"/>
        </w:rPr>
        <w:t>La cause racine, les impacts et les enseignements tirés concernant tout incident de données doivent être pris en compte dans le cadre de ce processus et traités dans les sections pertinentes du formulaire de rapport d’incident de cybersécurité.</w:t>
      </w:r>
    </w:p>
    <w:p w14:paraId="5C78C002" w14:textId="77777777" w:rsidR="00A74B6F" w:rsidRPr="00214D05" w:rsidRDefault="00EF54A2">
      <w:pPr>
        <w:rPr>
          <w:lang w:val="fr-FR"/>
        </w:rPr>
      </w:pPr>
      <w:r w:rsidRPr="00214D05">
        <w:rPr>
          <w:lang w:val="fr-FR"/>
        </w:rPr>
        <w:br w:type="page"/>
      </w:r>
    </w:p>
    <w:p w14:paraId="1F6AE8D1" w14:textId="0B6F487B" w:rsidR="00A74B6F" w:rsidRPr="00214D05" w:rsidRDefault="00EF54A2" w:rsidP="00EA40EE">
      <w:pPr>
        <w:pStyle w:val="Heading1"/>
        <w:numPr>
          <w:ilvl w:val="0"/>
          <w:numId w:val="18"/>
        </w:numPr>
        <w:rPr>
          <w:lang w:val="fr-FR"/>
        </w:rPr>
      </w:pPr>
      <w:bookmarkStart w:id="10" w:name="_Toc236062218"/>
      <w:r>
        <w:rPr>
          <w:lang w:val="fr-FR"/>
        </w:rPr>
        <w:lastRenderedPageBreak/>
        <w:t>Annexe A : schéma du processus de réponse à un incident de données</w:t>
      </w:r>
      <w:bookmarkEnd w:id="10"/>
      <w:r w:rsidR="00EA40EE">
        <w:rPr>
          <w:lang w:val="fr-FR"/>
        </w:rPr>
        <w:br/>
      </w:r>
    </w:p>
    <w:p w14:paraId="63725677" w14:textId="77777777" w:rsidR="00A74B6F" w:rsidRDefault="00EF54A2">
      <w:pPr>
        <w:jc w:val="center"/>
      </w:pPr>
      <w:r>
        <w:rPr>
          <w:noProof/>
        </w:rPr>
        <w:drawing>
          <wp:inline distT="0" distB="0" distL="0" distR="0" wp14:anchorId="46DB8AD5" wp14:editId="6F69DCA7">
            <wp:extent cx="5852160" cy="65544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_diagram_fr.png"/>
                    <pic:cNvPicPr/>
                  </pic:nvPicPr>
                  <pic:blipFill>
                    <a:blip r:embed="rId8"/>
                    <a:stretch>
                      <a:fillRect/>
                    </a:stretch>
                  </pic:blipFill>
                  <pic:spPr>
                    <a:xfrm>
                      <a:off x="0" y="0"/>
                      <a:ext cx="5852160" cy="6554419"/>
                    </a:xfrm>
                    <a:prstGeom prst="rect">
                      <a:avLst/>
                    </a:prstGeom>
                  </pic:spPr>
                </pic:pic>
              </a:graphicData>
            </a:graphic>
          </wp:inline>
        </w:drawing>
      </w:r>
    </w:p>
    <w:sectPr w:rsidR="00A74B6F" w:rsidSect="00034616">
      <w:footerReference w:type="default" r:id="rId9"/>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F635E" w14:textId="77777777" w:rsidR="00EF54A2" w:rsidRDefault="00EF54A2">
      <w:pPr>
        <w:spacing w:after="0" w:line="240" w:lineRule="auto"/>
      </w:pPr>
      <w:r>
        <w:separator/>
      </w:r>
    </w:p>
  </w:endnote>
  <w:endnote w:type="continuationSeparator" w:id="0">
    <w:p w14:paraId="1CC94BB6" w14:textId="77777777" w:rsidR="00EF54A2" w:rsidRDefault="00EF5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5E9A7" w14:textId="77777777" w:rsidR="00A74B6F" w:rsidRPr="00214D05" w:rsidRDefault="00EF54A2">
    <w:pPr>
      <w:pStyle w:val="Footer"/>
      <w:rPr>
        <w:lang w:val="fr-FR"/>
      </w:rPr>
    </w:pPr>
    <w:r>
      <w:rPr>
        <w:i/>
        <w:color w:val="5A5A5A"/>
        <w:sz w:val="14"/>
        <w:lang w:val="fr-FR"/>
      </w:rPr>
      <w:t>Les modèles de gouvernance cyber sont fournis à titre d’exemple uniquement. Ils n’ont pas été préparés avec une connaissance détaillée de vos systèmes ou des risques pesant sur votre activité et ne couvrent pas toutes les situations ou actions possibles nécessaires pour répondre à un incident de cybersécurité. Il vous appartient d’exercer votre propre jugement indépendant afin d’évaluer les plans et processus de réponse aux incidents appropriés à votre activité. Les modèles de gouvernance cyber ne remplacen</w:t>
    </w:r>
    <w:r>
      <w:rPr>
        <w:i/>
        <w:color w:val="5A5A5A"/>
        <w:sz w:val="14"/>
        <w:lang w:val="fr-FR"/>
      </w:rPr>
      <w:t>t pas les conseils d’un conseiller juridique ou de professionnels de la cybersécurité dans la préparation ou la réponse à un incident de cybersécurité.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CC1B3" w14:textId="77777777" w:rsidR="00EF54A2" w:rsidRDefault="00EF54A2">
      <w:pPr>
        <w:spacing w:after="0" w:line="240" w:lineRule="auto"/>
      </w:pPr>
      <w:r>
        <w:separator/>
      </w:r>
    </w:p>
  </w:footnote>
  <w:footnote w:type="continuationSeparator" w:id="0">
    <w:p w14:paraId="7102D5D4" w14:textId="77777777" w:rsidR="00EF54A2" w:rsidRDefault="00EF54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EF14C8"/>
    <w:multiLevelType w:val="hybridMultilevel"/>
    <w:tmpl w:val="F4BC65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3C36534"/>
    <w:multiLevelType w:val="multilevel"/>
    <w:tmpl w:val="B4D010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79035B"/>
    <w:multiLevelType w:val="hybridMultilevel"/>
    <w:tmpl w:val="C5E432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DBD01F4"/>
    <w:multiLevelType w:val="hybridMultilevel"/>
    <w:tmpl w:val="19E272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10D01AC"/>
    <w:multiLevelType w:val="hybridMultilevel"/>
    <w:tmpl w:val="B68461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3D81D4E"/>
    <w:multiLevelType w:val="hybridMultilevel"/>
    <w:tmpl w:val="C51EBDF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69A768B6"/>
    <w:multiLevelType w:val="hybridMultilevel"/>
    <w:tmpl w:val="BE7AF3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71A792E"/>
    <w:multiLevelType w:val="hybridMultilevel"/>
    <w:tmpl w:val="70F26D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97960F0"/>
    <w:multiLevelType w:val="multilevel"/>
    <w:tmpl w:val="B4D010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22561115">
    <w:abstractNumId w:val="8"/>
  </w:num>
  <w:num w:numId="2" w16cid:durableId="1652909600">
    <w:abstractNumId w:val="6"/>
  </w:num>
  <w:num w:numId="3" w16cid:durableId="1035081760">
    <w:abstractNumId w:val="5"/>
  </w:num>
  <w:num w:numId="4" w16cid:durableId="1769739596">
    <w:abstractNumId w:val="4"/>
  </w:num>
  <w:num w:numId="5" w16cid:durableId="1018045937">
    <w:abstractNumId w:val="7"/>
  </w:num>
  <w:num w:numId="6" w16cid:durableId="136917308">
    <w:abstractNumId w:val="3"/>
  </w:num>
  <w:num w:numId="7" w16cid:durableId="1948268741">
    <w:abstractNumId w:val="2"/>
  </w:num>
  <w:num w:numId="8" w16cid:durableId="2093501269">
    <w:abstractNumId w:val="1"/>
  </w:num>
  <w:num w:numId="9" w16cid:durableId="1289622699">
    <w:abstractNumId w:val="0"/>
  </w:num>
  <w:num w:numId="10" w16cid:durableId="994602324">
    <w:abstractNumId w:val="16"/>
  </w:num>
  <w:num w:numId="11" w16cid:durableId="1822622007">
    <w:abstractNumId w:val="10"/>
  </w:num>
  <w:num w:numId="12" w16cid:durableId="283730239">
    <w:abstractNumId w:val="17"/>
  </w:num>
  <w:num w:numId="13" w16cid:durableId="2077823846">
    <w:abstractNumId w:val="14"/>
  </w:num>
  <w:num w:numId="14" w16cid:durableId="1214082100">
    <w:abstractNumId w:val="13"/>
  </w:num>
  <w:num w:numId="15" w16cid:durableId="1614825072">
    <w:abstractNumId w:val="9"/>
  </w:num>
  <w:num w:numId="16" w16cid:durableId="1066101628">
    <w:abstractNumId w:val="11"/>
  </w:num>
  <w:num w:numId="17" w16cid:durableId="1899630624">
    <w:abstractNumId w:val="12"/>
  </w:num>
  <w:num w:numId="18" w16cid:durableId="1907258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779A"/>
    <w:rsid w:val="000D64DC"/>
    <w:rsid w:val="0015074B"/>
    <w:rsid w:val="00214D05"/>
    <w:rsid w:val="0029639D"/>
    <w:rsid w:val="00326F90"/>
    <w:rsid w:val="003934DD"/>
    <w:rsid w:val="00414CA3"/>
    <w:rsid w:val="004841FC"/>
    <w:rsid w:val="00496F61"/>
    <w:rsid w:val="005164EC"/>
    <w:rsid w:val="005D75F2"/>
    <w:rsid w:val="006338CF"/>
    <w:rsid w:val="00800D59"/>
    <w:rsid w:val="00962E84"/>
    <w:rsid w:val="00A74B6F"/>
    <w:rsid w:val="00AA1D8D"/>
    <w:rsid w:val="00AC360F"/>
    <w:rsid w:val="00B021AF"/>
    <w:rsid w:val="00B47730"/>
    <w:rsid w:val="00BB28F6"/>
    <w:rsid w:val="00CB0664"/>
    <w:rsid w:val="00E0294E"/>
    <w:rsid w:val="00E1314C"/>
    <w:rsid w:val="00E23C9B"/>
    <w:rsid w:val="00E23EAB"/>
    <w:rsid w:val="00EA40EE"/>
    <w:rsid w:val="00EF54A2"/>
    <w:rsid w:val="00F845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0E62F10-8026-4388-8FC8-8DC747CC2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D403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D403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5164EC"/>
    <w:pPr>
      <w:spacing w:after="100"/>
    </w:pPr>
  </w:style>
  <w:style w:type="paragraph" w:styleId="TOC2">
    <w:name w:val="toc 2"/>
    <w:basedOn w:val="Normal"/>
    <w:next w:val="Normal"/>
    <w:autoRedefine/>
    <w:uiPriority w:val="39"/>
    <w:unhideWhenUsed/>
    <w:rsid w:val="005164EC"/>
    <w:pPr>
      <w:spacing w:after="100"/>
      <w:ind w:left="200"/>
    </w:pPr>
  </w:style>
  <w:style w:type="character" w:styleId="Hyperlink">
    <w:name w:val="Hyperlink"/>
    <w:basedOn w:val="DefaultParagraphFont"/>
    <w:uiPriority w:val="99"/>
    <w:unhideWhenUsed/>
    <w:rsid w:val="005164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ée un document." ma:contentTypeScope="" ma:versionID="a2b1fe18f0a19e35aa0ba5822bf5785c">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7fa1c7f66a52a8e794791916bdef6335"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étés de la stratégie de conformité unifiée" ma:hidden="true" ma:internalName="_ip_UnifiedCompliancePolicyProperties">
      <xsd:simpleType>
        <xsd:restriction base="dms:Note"/>
      </xsd:simpleType>
    </xsd:element>
    <xsd:element name="_ip_UnifiedCompliancePolicyUIAction" ma:index="20"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FDA0C9D-C913-4C7C-B19C-1EC3D26FF240}"/>
</file>

<file path=customXml/itemProps3.xml><?xml version="1.0" encoding="utf-8"?>
<ds:datastoreItem xmlns:ds="http://schemas.openxmlformats.org/officeDocument/2006/customXml" ds:itemID="{E10E6DF8-B6A3-4E57-A2EB-2D559B7FBE1D}"/>
</file>

<file path=customXml/itemProps4.xml><?xml version="1.0" encoding="utf-8"?>
<ds:datastoreItem xmlns:ds="http://schemas.openxmlformats.org/officeDocument/2006/customXml" ds:itemID="{E4E9118E-49DF-4575-A774-47BCA906D76C}"/>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150</TotalTime>
  <Pages>5</Pages>
  <Words>977</Words>
  <Characters>5667</Characters>
  <Application>Microsoft Office Word</Application>
  <DocSecurity>0</DocSecurity>
  <Lines>149</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Insaf Idelhaj</dc:creator>
  <cp:keywords/>
  <dc:description>generated by python-docx</dc:description>
  <cp:lastModifiedBy>Insaf Idelhaj</cp:lastModifiedBy>
  <cp:revision>21</cp:revision>
  <dcterms:created xsi:type="dcterms:W3CDTF">2026-07-27T11:42:00Z</dcterms:created>
  <dcterms:modified xsi:type="dcterms:W3CDTF">2026-07-27T14:30:00Z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