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A899B3" w14:textId="09E10B8F" w:rsidR="00967282" w:rsidRDefault="00967282" w:rsidP="0019251F">
      <w:pPr>
        <w:jc w:val="center"/>
      </w:pPr>
    </w:p>
    <w:p w14:paraId="7D1D3F04" w14:textId="77777777" w:rsidR="00967282" w:rsidRPr="0019251F" w:rsidRDefault="00D34EF7" w:rsidP="0019251F">
      <w:pPr>
        <w:jc w:val="center"/>
        <w:rPr>
          <w:lang w:val="fr-FR"/>
        </w:rPr>
      </w:pPr>
      <w:r w:rsidRPr="0019251F">
        <w:rPr>
          <w:b/>
          <w:sz w:val="32"/>
          <w:highlight w:val="yellow"/>
          <w:lang w:val="fr-FR" w:eastAsia="fr-FR" w:bidi="fr-FR"/>
        </w:rPr>
        <w:t>[NOM DE L’ENTREPRISE]</w:t>
      </w:r>
    </w:p>
    <w:p w14:paraId="6607783C" w14:textId="77777777" w:rsidR="00967282" w:rsidRPr="0019251F" w:rsidRDefault="00D34EF7" w:rsidP="0019251F">
      <w:pPr>
        <w:jc w:val="center"/>
        <w:rPr>
          <w:lang w:val="fr-FR"/>
        </w:rPr>
      </w:pPr>
      <w:r>
        <w:rPr>
          <w:b/>
          <w:sz w:val="36"/>
          <w:lang w:val="fr-FR" w:eastAsia="fr-FR" w:bidi="fr-FR"/>
        </w:rPr>
        <w:t>Guide de réponse aux malwares</w:t>
      </w:r>
    </w:p>
    <w:p w14:paraId="479C7255" w14:textId="77777777" w:rsidR="00967282" w:rsidRPr="0019251F" w:rsidRDefault="00D34EF7" w:rsidP="0019251F">
      <w:pPr>
        <w:jc w:val="center"/>
        <w:rPr>
          <w:lang w:val="fr-FR"/>
        </w:rPr>
      </w:pPr>
      <w:r>
        <w:rPr>
          <w:b/>
          <w:color w:val="3D403D"/>
          <w:lang w:val="fr-FR" w:eastAsia="fr-FR" w:bidi="fr-FR"/>
        </w:rPr>
        <w:t>Confidentiel entreprise. Ne pas distribuer</w:t>
      </w:r>
    </w:p>
    <w:p w14:paraId="57DB0D3B" w14:textId="77777777" w:rsidR="00967282" w:rsidRDefault="00967282">
      <w:pPr>
        <w:rPr>
          <w:lang w:val="fr-FR"/>
        </w:rPr>
      </w:pPr>
    </w:p>
    <w:p w14:paraId="23C980CE" w14:textId="77777777" w:rsidR="0019251F" w:rsidRDefault="0019251F">
      <w:pPr>
        <w:rPr>
          <w:lang w:val="fr-FR"/>
        </w:rPr>
      </w:pPr>
    </w:p>
    <w:p w14:paraId="70246C71" w14:textId="77777777" w:rsidR="00533DA0" w:rsidRDefault="00533DA0">
      <w:pPr>
        <w:rPr>
          <w:lang w:val="fr-FR"/>
        </w:rPr>
      </w:pPr>
    </w:p>
    <w:p w14:paraId="03250378" w14:textId="77777777" w:rsidR="00204EBD" w:rsidRPr="0019251F" w:rsidRDefault="00204EBD">
      <w:pPr>
        <w:rPr>
          <w:lang w:val="fr-FR"/>
        </w:rPr>
      </w:pPr>
    </w:p>
    <w:p w14:paraId="09976EEC" w14:textId="77777777" w:rsidR="00967282" w:rsidRPr="0019251F" w:rsidRDefault="00D34EF7">
      <w:pPr>
        <w:rPr>
          <w:lang w:val="fr-FR"/>
        </w:rPr>
      </w:pPr>
      <w:r>
        <w:rPr>
          <w:b/>
          <w:color w:val="3D403D"/>
          <w:lang w:val="fr-FR" w:eastAsia="fr-FR" w:bidi="fr-FR"/>
        </w:rPr>
        <w:t>HISTORIQUE DES VERSIONS</w:t>
      </w:r>
    </w:p>
    <w:tbl>
      <w:tblPr>
        <w:tblStyle w:val="TableGrid"/>
        <w:tblW w:w="0" w:type="auto"/>
        <w:jc w:val="center"/>
        <w:tblLook w:val="04A0" w:firstRow="1" w:lastRow="0" w:firstColumn="1" w:lastColumn="0" w:noHBand="0" w:noVBand="1"/>
      </w:tblPr>
      <w:tblGrid>
        <w:gridCol w:w="2448"/>
        <w:gridCol w:w="2448"/>
        <w:gridCol w:w="2448"/>
        <w:gridCol w:w="2448"/>
      </w:tblGrid>
      <w:tr w:rsidR="00967282" w14:paraId="7AECF415" w14:textId="77777777">
        <w:trPr>
          <w:jc w:val="center"/>
        </w:trPr>
        <w:tc>
          <w:tcPr>
            <w:tcW w:w="2448" w:type="dxa"/>
            <w:shd w:val="clear" w:color="auto" w:fill="E7E6E6"/>
            <w:vAlign w:val="center"/>
          </w:tcPr>
          <w:p w14:paraId="11870916" w14:textId="77777777" w:rsidR="00967282" w:rsidRDefault="00D34EF7">
            <w:r>
              <w:rPr>
                <w:b/>
                <w:color w:val="3D403D"/>
                <w:lang w:val="fr-FR" w:eastAsia="fr-FR" w:bidi="fr-FR"/>
              </w:rPr>
              <w:t>VERSION</w:t>
            </w:r>
          </w:p>
        </w:tc>
        <w:tc>
          <w:tcPr>
            <w:tcW w:w="2448" w:type="dxa"/>
            <w:shd w:val="clear" w:color="auto" w:fill="E7E6E6"/>
            <w:vAlign w:val="center"/>
          </w:tcPr>
          <w:p w14:paraId="0474510F" w14:textId="77777777" w:rsidR="00967282" w:rsidRDefault="00D34EF7">
            <w:r>
              <w:rPr>
                <w:b/>
                <w:color w:val="3D403D"/>
                <w:lang w:val="fr-FR" w:eastAsia="fr-FR" w:bidi="fr-FR"/>
              </w:rPr>
              <w:t>DATE</w:t>
            </w:r>
          </w:p>
        </w:tc>
        <w:tc>
          <w:tcPr>
            <w:tcW w:w="2448" w:type="dxa"/>
            <w:shd w:val="clear" w:color="auto" w:fill="E7E6E6"/>
            <w:vAlign w:val="center"/>
          </w:tcPr>
          <w:p w14:paraId="7D566B89" w14:textId="77777777" w:rsidR="00967282" w:rsidRDefault="00D34EF7">
            <w:r>
              <w:rPr>
                <w:b/>
                <w:color w:val="3D403D"/>
                <w:lang w:val="fr-FR" w:eastAsia="fr-FR" w:bidi="fr-FR"/>
              </w:rPr>
              <w:t>NOM</w:t>
            </w:r>
          </w:p>
        </w:tc>
        <w:tc>
          <w:tcPr>
            <w:tcW w:w="2448" w:type="dxa"/>
            <w:shd w:val="clear" w:color="auto" w:fill="E7E6E6"/>
            <w:vAlign w:val="center"/>
          </w:tcPr>
          <w:p w14:paraId="776864B9" w14:textId="77777777" w:rsidR="00967282" w:rsidRDefault="00D34EF7">
            <w:r>
              <w:rPr>
                <w:b/>
                <w:color w:val="3D403D"/>
                <w:lang w:val="fr-FR" w:eastAsia="fr-FR" w:bidi="fr-FR"/>
              </w:rPr>
              <w:t>DESCRIPTION</w:t>
            </w:r>
          </w:p>
        </w:tc>
      </w:tr>
      <w:tr w:rsidR="00967282" w14:paraId="6837B64C" w14:textId="77777777">
        <w:trPr>
          <w:jc w:val="center"/>
        </w:trPr>
        <w:tc>
          <w:tcPr>
            <w:tcW w:w="2448" w:type="dxa"/>
          </w:tcPr>
          <w:p w14:paraId="6F5CB29A" w14:textId="77777777" w:rsidR="00967282" w:rsidRDefault="00967282"/>
        </w:tc>
        <w:tc>
          <w:tcPr>
            <w:tcW w:w="2448" w:type="dxa"/>
          </w:tcPr>
          <w:p w14:paraId="523CAA37" w14:textId="77777777" w:rsidR="00967282" w:rsidRDefault="00967282"/>
        </w:tc>
        <w:tc>
          <w:tcPr>
            <w:tcW w:w="2448" w:type="dxa"/>
          </w:tcPr>
          <w:p w14:paraId="7C5AEBF3" w14:textId="77777777" w:rsidR="00967282" w:rsidRDefault="00967282"/>
        </w:tc>
        <w:tc>
          <w:tcPr>
            <w:tcW w:w="2448" w:type="dxa"/>
          </w:tcPr>
          <w:p w14:paraId="471ABFAA" w14:textId="77777777" w:rsidR="00967282" w:rsidRDefault="00967282"/>
        </w:tc>
      </w:tr>
      <w:tr w:rsidR="00967282" w14:paraId="166D5107" w14:textId="77777777">
        <w:trPr>
          <w:jc w:val="center"/>
        </w:trPr>
        <w:tc>
          <w:tcPr>
            <w:tcW w:w="2448" w:type="dxa"/>
          </w:tcPr>
          <w:p w14:paraId="3C595DC6" w14:textId="77777777" w:rsidR="00967282" w:rsidRDefault="00967282"/>
        </w:tc>
        <w:tc>
          <w:tcPr>
            <w:tcW w:w="2448" w:type="dxa"/>
          </w:tcPr>
          <w:p w14:paraId="4B6F3871" w14:textId="77777777" w:rsidR="00967282" w:rsidRDefault="00967282"/>
        </w:tc>
        <w:tc>
          <w:tcPr>
            <w:tcW w:w="2448" w:type="dxa"/>
          </w:tcPr>
          <w:p w14:paraId="04D513C8" w14:textId="77777777" w:rsidR="00967282" w:rsidRDefault="00967282"/>
        </w:tc>
        <w:tc>
          <w:tcPr>
            <w:tcW w:w="2448" w:type="dxa"/>
          </w:tcPr>
          <w:p w14:paraId="7D649321" w14:textId="77777777" w:rsidR="00967282" w:rsidRDefault="00967282"/>
        </w:tc>
      </w:tr>
      <w:tr w:rsidR="00967282" w14:paraId="14A9893D" w14:textId="77777777">
        <w:trPr>
          <w:jc w:val="center"/>
        </w:trPr>
        <w:tc>
          <w:tcPr>
            <w:tcW w:w="2448" w:type="dxa"/>
          </w:tcPr>
          <w:p w14:paraId="7ACA2CB7" w14:textId="77777777" w:rsidR="00967282" w:rsidRDefault="00967282"/>
        </w:tc>
        <w:tc>
          <w:tcPr>
            <w:tcW w:w="2448" w:type="dxa"/>
          </w:tcPr>
          <w:p w14:paraId="39226B02" w14:textId="77777777" w:rsidR="00967282" w:rsidRDefault="00967282"/>
        </w:tc>
        <w:tc>
          <w:tcPr>
            <w:tcW w:w="2448" w:type="dxa"/>
          </w:tcPr>
          <w:p w14:paraId="786FEF62" w14:textId="77777777" w:rsidR="00967282" w:rsidRDefault="00967282"/>
        </w:tc>
        <w:tc>
          <w:tcPr>
            <w:tcW w:w="2448" w:type="dxa"/>
          </w:tcPr>
          <w:p w14:paraId="793F83A0" w14:textId="77777777" w:rsidR="00967282" w:rsidRDefault="00967282"/>
        </w:tc>
      </w:tr>
      <w:tr w:rsidR="00967282" w14:paraId="1BA5CD3F" w14:textId="77777777">
        <w:trPr>
          <w:jc w:val="center"/>
        </w:trPr>
        <w:tc>
          <w:tcPr>
            <w:tcW w:w="2448" w:type="dxa"/>
          </w:tcPr>
          <w:p w14:paraId="4702A33B" w14:textId="77777777" w:rsidR="00967282" w:rsidRDefault="00967282"/>
        </w:tc>
        <w:tc>
          <w:tcPr>
            <w:tcW w:w="2448" w:type="dxa"/>
          </w:tcPr>
          <w:p w14:paraId="4B3CDF81" w14:textId="77777777" w:rsidR="00967282" w:rsidRDefault="00967282"/>
        </w:tc>
        <w:tc>
          <w:tcPr>
            <w:tcW w:w="2448" w:type="dxa"/>
          </w:tcPr>
          <w:p w14:paraId="7957463B" w14:textId="77777777" w:rsidR="00967282" w:rsidRDefault="00967282"/>
        </w:tc>
        <w:tc>
          <w:tcPr>
            <w:tcW w:w="2448" w:type="dxa"/>
          </w:tcPr>
          <w:p w14:paraId="242E34A1" w14:textId="77777777" w:rsidR="00967282" w:rsidRDefault="00967282"/>
        </w:tc>
      </w:tr>
      <w:tr w:rsidR="00967282" w14:paraId="3B34E21A" w14:textId="77777777">
        <w:trPr>
          <w:jc w:val="center"/>
        </w:trPr>
        <w:tc>
          <w:tcPr>
            <w:tcW w:w="2448" w:type="dxa"/>
          </w:tcPr>
          <w:p w14:paraId="42BFABAD" w14:textId="77777777" w:rsidR="00967282" w:rsidRDefault="00967282"/>
        </w:tc>
        <w:tc>
          <w:tcPr>
            <w:tcW w:w="2448" w:type="dxa"/>
          </w:tcPr>
          <w:p w14:paraId="4E29D1C1" w14:textId="77777777" w:rsidR="00967282" w:rsidRDefault="00967282"/>
        </w:tc>
        <w:tc>
          <w:tcPr>
            <w:tcW w:w="2448" w:type="dxa"/>
          </w:tcPr>
          <w:p w14:paraId="3560C503" w14:textId="77777777" w:rsidR="00967282" w:rsidRDefault="00967282"/>
        </w:tc>
        <w:tc>
          <w:tcPr>
            <w:tcW w:w="2448" w:type="dxa"/>
          </w:tcPr>
          <w:p w14:paraId="5C72CD25" w14:textId="77777777" w:rsidR="00967282" w:rsidRDefault="00967282"/>
        </w:tc>
      </w:tr>
      <w:tr w:rsidR="00967282" w14:paraId="49D9F1E4" w14:textId="77777777">
        <w:trPr>
          <w:jc w:val="center"/>
        </w:trPr>
        <w:tc>
          <w:tcPr>
            <w:tcW w:w="2448" w:type="dxa"/>
          </w:tcPr>
          <w:p w14:paraId="76D2DB3B" w14:textId="77777777" w:rsidR="00967282" w:rsidRDefault="00967282"/>
        </w:tc>
        <w:tc>
          <w:tcPr>
            <w:tcW w:w="2448" w:type="dxa"/>
          </w:tcPr>
          <w:p w14:paraId="123153D5" w14:textId="77777777" w:rsidR="00967282" w:rsidRDefault="00967282"/>
        </w:tc>
        <w:tc>
          <w:tcPr>
            <w:tcW w:w="2448" w:type="dxa"/>
          </w:tcPr>
          <w:p w14:paraId="0969CD5A" w14:textId="77777777" w:rsidR="00967282" w:rsidRDefault="00967282"/>
        </w:tc>
        <w:tc>
          <w:tcPr>
            <w:tcW w:w="2448" w:type="dxa"/>
          </w:tcPr>
          <w:p w14:paraId="3AF7A74C" w14:textId="77777777" w:rsidR="00967282" w:rsidRDefault="00967282"/>
        </w:tc>
      </w:tr>
      <w:tr w:rsidR="00967282" w14:paraId="164B89AF" w14:textId="77777777">
        <w:trPr>
          <w:jc w:val="center"/>
        </w:trPr>
        <w:tc>
          <w:tcPr>
            <w:tcW w:w="2448" w:type="dxa"/>
          </w:tcPr>
          <w:p w14:paraId="49218527" w14:textId="77777777" w:rsidR="00967282" w:rsidRDefault="00967282"/>
        </w:tc>
        <w:tc>
          <w:tcPr>
            <w:tcW w:w="2448" w:type="dxa"/>
          </w:tcPr>
          <w:p w14:paraId="25FE1464" w14:textId="77777777" w:rsidR="00967282" w:rsidRDefault="00967282"/>
        </w:tc>
        <w:tc>
          <w:tcPr>
            <w:tcW w:w="2448" w:type="dxa"/>
          </w:tcPr>
          <w:p w14:paraId="1F611766" w14:textId="77777777" w:rsidR="00967282" w:rsidRDefault="00967282"/>
        </w:tc>
        <w:tc>
          <w:tcPr>
            <w:tcW w:w="2448" w:type="dxa"/>
          </w:tcPr>
          <w:p w14:paraId="6ACB5A13" w14:textId="77777777" w:rsidR="00967282" w:rsidRDefault="00967282"/>
        </w:tc>
      </w:tr>
    </w:tbl>
    <w:p w14:paraId="6AEDBEEF" w14:textId="77777777" w:rsidR="00967282" w:rsidRDefault="00967282"/>
    <w:p w14:paraId="3DC2D827" w14:textId="77777777" w:rsidR="00967282" w:rsidRDefault="00D34EF7">
      <w:r>
        <w:rPr>
          <w:b/>
          <w:lang w:val="fr-FR" w:eastAsia="fr-FR" w:bidi="fr-FR"/>
        </w:rPr>
        <w:t xml:space="preserve">Responsable du guide : </w:t>
      </w:r>
    </w:p>
    <w:p w14:paraId="76EB176C" w14:textId="77777777" w:rsidR="00967282" w:rsidRDefault="00D34EF7">
      <w:r>
        <w:rPr>
          <w:b/>
          <w:lang w:val="fr-FR" w:eastAsia="fr-FR" w:bidi="fr-FR"/>
        </w:rPr>
        <w:t xml:space="preserve">Prochaine revue : </w:t>
      </w:r>
    </w:p>
    <w:p w14:paraId="33EE8079" w14:textId="77777777" w:rsidR="00967282" w:rsidRDefault="00D34EF7">
      <w:r>
        <w:br w:type="page"/>
      </w:r>
    </w:p>
    <w:sdt>
      <w:sdtPr>
        <w:id w:val="1265956105"/>
        <w:docPartObj>
          <w:docPartGallery w:val="Table of Contents"/>
          <w:docPartUnique/>
        </w:docPartObj>
      </w:sdtPr>
      <w:sdtEndPr>
        <w:rPr>
          <w:rFonts w:ascii="Arial" w:eastAsiaTheme="minorEastAsia" w:hAnsi="Arial" w:cstheme="minorBidi"/>
          <w:noProof/>
          <w:color w:val="auto"/>
          <w:sz w:val="20"/>
          <w:szCs w:val="22"/>
        </w:rPr>
      </w:sdtEndPr>
      <w:sdtContent>
        <w:p w14:paraId="44C45F95" w14:textId="4432DA62" w:rsidR="009E1CDB" w:rsidRDefault="009E1CDB">
          <w:pPr>
            <w:pStyle w:val="TOCHeading"/>
          </w:pPr>
          <w:r>
            <w:t>Table des mati</w:t>
          </w:r>
          <w:r w:rsidR="005C3483">
            <w:t>ères</w:t>
          </w:r>
        </w:p>
        <w:p w14:paraId="49141B8C" w14:textId="77777777" w:rsidR="005C3483" w:rsidRPr="005C3483" w:rsidRDefault="005C3483" w:rsidP="005C3483"/>
        <w:p w14:paraId="20F1AB53" w14:textId="6EB2525D" w:rsidR="009E1CDB" w:rsidRDefault="009E1CDB">
          <w:pPr>
            <w:pStyle w:val="TOC1"/>
            <w:tabs>
              <w:tab w:val="left" w:pos="480"/>
              <w:tab w:val="right" w:leader="dot" w:pos="9782"/>
            </w:tabs>
            <w:rPr>
              <w:noProof/>
            </w:rPr>
          </w:pPr>
          <w:r>
            <w:fldChar w:fldCharType="begin"/>
          </w:r>
          <w:r>
            <w:instrText xml:space="preserve"> TOC \o "1-3" \h \z \u </w:instrText>
          </w:r>
          <w:r>
            <w:fldChar w:fldCharType="separate"/>
          </w:r>
          <w:hyperlink w:anchor="_Toc236069812" w:history="1">
            <w:r w:rsidRPr="005A7BA9">
              <w:rPr>
                <w:rStyle w:val="Hyperlink"/>
                <w:noProof/>
                <w:lang w:val="fr-FR" w:eastAsia="fr-FR" w:bidi="fr-FR"/>
              </w:rPr>
              <w:t>1.</w:t>
            </w:r>
            <w:r>
              <w:rPr>
                <w:noProof/>
              </w:rPr>
              <w:tab/>
            </w:r>
            <w:r w:rsidRPr="005A7BA9">
              <w:rPr>
                <w:rStyle w:val="Hyperlink"/>
                <w:noProof/>
                <w:lang w:val="fr-FR" w:eastAsia="fr-FR" w:bidi="fr-FR"/>
              </w:rPr>
              <w:t>Guide de réponse aux malwares</w:t>
            </w:r>
            <w:r>
              <w:rPr>
                <w:noProof/>
                <w:webHidden/>
              </w:rPr>
              <w:tab/>
            </w:r>
            <w:r>
              <w:rPr>
                <w:noProof/>
                <w:webHidden/>
              </w:rPr>
              <w:fldChar w:fldCharType="begin"/>
            </w:r>
            <w:r>
              <w:rPr>
                <w:noProof/>
                <w:webHidden/>
              </w:rPr>
              <w:instrText xml:space="preserve"> PAGEREF _Toc236069812 \h </w:instrText>
            </w:r>
            <w:r>
              <w:rPr>
                <w:noProof/>
                <w:webHidden/>
              </w:rPr>
            </w:r>
            <w:r>
              <w:rPr>
                <w:noProof/>
                <w:webHidden/>
              </w:rPr>
              <w:fldChar w:fldCharType="separate"/>
            </w:r>
            <w:r>
              <w:rPr>
                <w:noProof/>
                <w:webHidden/>
              </w:rPr>
              <w:t>3</w:t>
            </w:r>
            <w:r>
              <w:rPr>
                <w:noProof/>
                <w:webHidden/>
              </w:rPr>
              <w:fldChar w:fldCharType="end"/>
            </w:r>
          </w:hyperlink>
        </w:p>
        <w:p w14:paraId="72465B20" w14:textId="2F670EA9" w:rsidR="009E1CDB" w:rsidRDefault="009E1CDB">
          <w:pPr>
            <w:pStyle w:val="TOC2"/>
            <w:tabs>
              <w:tab w:val="right" w:leader="dot" w:pos="9782"/>
            </w:tabs>
            <w:rPr>
              <w:noProof/>
            </w:rPr>
          </w:pPr>
          <w:hyperlink w:anchor="_Toc236069813" w:history="1">
            <w:r w:rsidRPr="005A7BA9">
              <w:rPr>
                <w:rStyle w:val="Hyperlink"/>
                <w:noProof/>
                <w:lang w:val="fr-FR" w:eastAsia="fr-FR" w:bidi="fr-FR"/>
              </w:rPr>
              <w:t>1.1 Détection</w:t>
            </w:r>
            <w:r>
              <w:rPr>
                <w:noProof/>
                <w:webHidden/>
              </w:rPr>
              <w:tab/>
            </w:r>
            <w:r>
              <w:rPr>
                <w:noProof/>
                <w:webHidden/>
              </w:rPr>
              <w:fldChar w:fldCharType="begin"/>
            </w:r>
            <w:r>
              <w:rPr>
                <w:noProof/>
                <w:webHidden/>
              </w:rPr>
              <w:instrText xml:space="preserve"> PAGEREF _Toc236069813 \h </w:instrText>
            </w:r>
            <w:r>
              <w:rPr>
                <w:noProof/>
                <w:webHidden/>
              </w:rPr>
            </w:r>
            <w:r>
              <w:rPr>
                <w:noProof/>
                <w:webHidden/>
              </w:rPr>
              <w:fldChar w:fldCharType="separate"/>
            </w:r>
            <w:r>
              <w:rPr>
                <w:noProof/>
                <w:webHidden/>
              </w:rPr>
              <w:t>3</w:t>
            </w:r>
            <w:r>
              <w:rPr>
                <w:noProof/>
                <w:webHidden/>
              </w:rPr>
              <w:fldChar w:fldCharType="end"/>
            </w:r>
          </w:hyperlink>
        </w:p>
        <w:p w14:paraId="1022E1E0" w14:textId="62694063" w:rsidR="009E1CDB" w:rsidRDefault="009E1CDB">
          <w:pPr>
            <w:pStyle w:val="TOC2"/>
            <w:tabs>
              <w:tab w:val="right" w:leader="dot" w:pos="9782"/>
            </w:tabs>
            <w:rPr>
              <w:noProof/>
            </w:rPr>
          </w:pPr>
          <w:hyperlink w:anchor="_Toc236069814" w:history="1">
            <w:r w:rsidRPr="005A7BA9">
              <w:rPr>
                <w:rStyle w:val="Hyperlink"/>
                <w:noProof/>
                <w:lang w:val="fr-FR" w:eastAsia="fr-FR" w:bidi="fr-FR"/>
              </w:rPr>
              <w:t>1.2 Rôles et responsabilités</w:t>
            </w:r>
            <w:r>
              <w:rPr>
                <w:noProof/>
                <w:webHidden/>
              </w:rPr>
              <w:tab/>
            </w:r>
            <w:r>
              <w:rPr>
                <w:noProof/>
                <w:webHidden/>
              </w:rPr>
              <w:fldChar w:fldCharType="begin"/>
            </w:r>
            <w:r>
              <w:rPr>
                <w:noProof/>
                <w:webHidden/>
              </w:rPr>
              <w:instrText xml:space="preserve"> PAGEREF _Toc236069814 \h </w:instrText>
            </w:r>
            <w:r>
              <w:rPr>
                <w:noProof/>
                <w:webHidden/>
              </w:rPr>
            </w:r>
            <w:r>
              <w:rPr>
                <w:noProof/>
                <w:webHidden/>
              </w:rPr>
              <w:fldChar w:fldCharType="separate"/>
            </w:r>
            <w:r>
              <w:rPr>
                <w:noProof/>
                <w:webHidden/>
              </w:rPr>
              <w:t>3</w:t>
            </w:r>
            <w:r>
              <w:rPr>
                <w:noProof/>
                <w:webHidden/>
              </w:rPr>
              <w:fldChar w:fldCharType="end"/>
            </w:r>
          </w:hyperlink>
        </w:p>
        <w:p w14:paraId="253FFC9C" w14:textId="4E7E254D" w:rsidR="009E1CDB" w:rsidRDefault="009E1CDB">
          <w:pPr>
            <w:pStyle w:val="TOC2"/>
            <w:tabs>
              <w:tab w:val="right" w:leader="dot" w:pos="9782"/>
            </w:tabs>
            <w:rPr>
              <w:noProof/>
            </w:rPr>
          </w:pPr>
          <w:hyperlink w:anchor="_Toc236069815" w:history="1">
            <w:r w:rsidRPr="005A7BA9">
              <w:rPr>
                <w:rStyle w:val="Hyperlink"/>
                <w:noProof/>
                <w:lang w:val="fr-FR" w:eastAsia="fr-FR" w:bidi="fr-FR"/>
              </w:rPr>
              <w:t>1.3 Étapes de réponse</w:t>
            </w:r>
            <w:r>
              <w:rPr>
                <w:noProof/>
                <w:webHidden/>
              </w:rPr>
              <w:tab/>
            </w:r>
            <w:r>
              <w:rPr>
                <w:noProof/>
                <w:webHidden/>
              </w:rPr>
              <w:fldChar w:fldCharType="begin"/>
            </w:r>
            <w:r>
              <w:rPr>
                <w:noProof/>
                <w:webHidden/>
              </w:rPr>
              <w:instrText xml:space="preserve"> PAGEREF _Toc236069815 \h </w:instrText>
            </w:r>
            <w:r>
              <w:rPr>
                <w:noProof/>
                <w:webHidden/>
              </w:rPr>
            </w:r>
            <w:r>
              <w:rPr>
                <w:noProof/>
                <w:webHidden/>
              </w:rPr>
              <w:fldChar w:fldCharType="separate"/>
            </w:r>
            <w:r>
              <w:rPr>
                <w:noProof/>
                <w:webHidden/>
              </w:rPr>
              <w:t>3</w:t>
            </w:r>
            <w:r>
              <w:rPr>
                <w:noProof/>
                <w:webHidden/>
              </w:rPr>
              <w:fldChar w:fldCharType="end"/>
            </w:r>
          </w:hyperlink>
        </w:p>
        <w:p w14:paraId="133CC2EC" w14:textId="7A70F74D" w:rsidR="009E1CDB" w:rsidRDefault="009E1CDB">
          <w:pPr>
            <w:pStyle w:val="TOC1"/>
            <w:tabs>
              <w:tab w:val="left" w:pos="480"/>
              <w:tab w:val="right" w:leader="dot" w:pos="9782"/>
            </w:tabs>
            <w:rPr>
              <w:noProof/>
            </w:rPr>
          </w:pPr>
          <w:hyperlink w:anchor="_Toc236069824" w:history="1">
            <w:r w:rsidRPr="005A7BA9">
              <w:rPr>
                <w:rStyle w:val="Hyperlink"/>
                <w:noProof/>
                <w:lang w:val="fr-FR"/>
              </w:rPr>
              <w:t>2.</w:t>
            </w:r>
            <w:r>
              <w:rPr>
                <w:noProof/>
              </w:rPr>
              <w:tab/>
            </w:r>
            <w:r w:rsidRPr="005A7BA9">
              <w:rPr>
                <w:rStyle w:val="Hyperlink"/>
                <w:noProof/>
                <w:lang w:val="fr-FR" w:eastAsia="fr-FR" w:bidi="fr-FR"/>
              </w:rPr>
              <w:t>Annexe A : schéma du processus de réponse aux malwares</w:t>
            </w:r>
            <w:r>
              <w:rPr>
                <w:noProof/>
                <w:webHidden/>
              </w:rPr>
              <w:tab/>
            </w:r>
            <w:r>
              <w:rPr>
                <w:noProof/>
                <w:webHidden/>
              </w:rPr>
              <w:fldChar w:fldCharType="begin"/>
            </w:r>
            <w:r>
              <w:rPr>
                <w:noProof/>
                <w:webHidden/>
              </w:rPr>
              <w:instrText xml:space="preserve"> PAGEREF _Toc236069824 \h </w:instrText>
            </w:r>
            <w:r>
              <w:rPr>
                <w:noProof/>
                <w:webHidden/>
              </w:rPr>
            </w:r>
            <w:r>
              <w:rPr>
                <w:noProof/>
                <w:webHidden/>
              </w:rPr>
              <w:fldChar w:fldCharType="separate"/>
            </w:r>
            <w:r>
              <w:rPr>
                <w:noProof/>
                <w:webHidden/>
              </w:rPr>
              <w:t>7</w:t>
            </w:r>
            <w:r>
              <w:rPr>
                <w:noProof/>
                <w:webHidden/>
              </w:rPr>
              <w:fldChar w:fldCharType="end"/>
            </w:r>
          </w:hyperlink>
        </w:p>
        <w:p w14:paraId="3C939F23" w14:textId="5ACC4F37" w:rsidR="009E1CDB" w:rsidRDefault="009E1CDB">
          <w:r>
            <w:rPr>
              <w:b/>
              <w:bCs/>
              <w:noProof/>
            </w:rPr>
            <w:fldChar w:fldCharType="end"/>
          </w:r>
        </w:p>
      </w:sdtContent>
    </w:sdt>
    <w:p w14:paraId="59CE3E74" w14:textId="77777777" w:rsidR="00967282" w:rsidRPr="0019251F" w:rsidRDefault="00D34EF7">
      <w:pPr>
        <w:rPr>
          <w:lang w:val="fr-FR"/>
        </w:rPr>
      </w:pPr>
      <w:r w:rsidRPr="0019251F">
        <w:rPr>
          <w:lang w:val="fr-FR"/>
        </w:rPr>
        <w:br w:type="page"/>
      </w:r>
    </w:p>
    <w:p w14:paraId="583EC221" w14:textId="5DA40CAE" w:rsidR="00967282" w:rsidRPr="0019251F" w:rsidRDefault="00D34EF7" w:rsidP="00FC0CA4">
      <w:pPr>
        <w:pStyle w:val="Heading1"/>
        <w:numPr>
          <w:ilvl w:val="0"/>
          <w:numId w:val="10"/>
        </w:numPr>
        <w:rPr>
          <w:lang w:val="fr-FR" w:eastAsia="fr-FR" w:bidi="fr-FR"/>
        </w:rPr>
      </w:pPr>
      <w:bookmarkStart w:id="0" w:name="_Toc236069812"/>
      <w:r>
        <w:rPr>
          <w:lang w:val="fr-FR" w:eastAsia="fr-FR" w:bidi="fr-FR"/>
        </w:rPr>
        <w:lastRenderedPageBreak/>
        <w:t>Guide de réponse aux malwares</w:t>
      </w:r>
      <w:bookmarkEnd w:id="0"/>
    </w:p>
    <w:p w14:paraId="7AAA4B98" w14:textId="28F28152" w:rsidR="00967282" w:rsidRPr="0019251F" w:rsidRDefault="00FC0CA4">
      <w:pPr>
        <w:pStyle w:val="Heading2"/>
        <w:rPr>
          <w:lang w:val="fr-FR"/>
        </w:rPr>
      </w:pPr>
      <w:bookmarkStart w:id="1" w:name="_Toc236069813"/>
      <w:r>
        <w:rPr>
          <w:lang w:val="fr-FR" w:eastAsia="fr-FR" w:bidi="fr-FR"/>
        </w:rPr>
        <w:t xml:space="preserve">1.1 </w:t>
      </w:r>
      <w:r w:rsidR="00D34EF7">
        <w:rPr>
          <w:lang w:val="fr-FR" w:eastAsia="fr-FR" w:bidi="fr-FR"/>
        </w:rPr>
        <w:t>Détection</w:t>
      </w:r>
      <w:bookmarkEnd w:id="1"/>
      <w:r>
        <w:rPr>
          <w:lang w:val="fr-FR" w:eastAsia="fr-FR" w:bidi="fr-FR"/>
        </w:rPr>
        <w:br/>
      </w:r>
    </w:p>
    <w:p w14:paraId="7222FDBA" w14:textId="77777777" w:rsidR="00967282" w:rsidRPr="00FC0CA4" w:rsidRDefault="00D34EF7">
      <w:pPr>
        <w:rPr>
          <w:sz w:val="18"/>
          <w:szCs w:val="20"/>
          <w:lang w:val="fr-FR"/>
        </w:rPr>
      </w:pPr>
      <w:r w:rsidRPr="00FC0CA4">
        <w:rPr>
          <w:sz w:val="18"/>
          <w:szCs w:val="20"/>
          <w:lang w:val="fr-FR" w:eastAsia="fr-FR" w:bidi="fr-FR"/>
        </w:rPr>
        <w:t>Un malware est un logiciel conçu et utilisé à des fins malveillantes, telles que la compromission ou l’endommagement de systèmes, l’espionnage, le vol de fonds ou de données, ou toute autre activité non autorisée. Un malware peut être déployé sur des systèmes par différentes méthodes et pour diverses raisons, et il est fréquemment utilisé dans le cadre d’un incident cyber plus large.</w:t>
      </w:r>
    </w:p>
    <w:p w14:paraId="436CBDFC" w14:textId="77777777" w:rsidR="00967282" w:rsidRPr="00FC0CA4" w:rsidRDefault="00D34EF7">
      <w:pPr>
        <w:rPr>
          <w:sz w:val="18"/>
          <w:szCs w:val="20"/>
          <w:lang w:val="fr-FR"/>
        </w:rPr>
      </w:pPr>
      <w:r w:rsidRPr="00FC0CA4">
        <w:rPr>
          <w:sz w:val="18"/>
          <w:szCs w:val="20"/>
          <w:lang w:val="fr-FR" w:eastAsia="fr-FR" w:bidi="fr-FR"/>
        </w:rPr>
        <w:t>Un malware peut être détecté, entre autres méthodes, par :</w:t>
      </w:r>
    </w:p>
    <w:p w14:paraId="3DC1384D" w14:textId="77777777" w:rsidR="00967282" w:rsidRPr="00FC0CA4" w:rsidRDefault="00D34EF7">
      <w:pPr>
        <w:pStyle w:val="ListBullet"/>
        <w:rPr>
          <w:sz w:val="18"/>
          <w:szCs w:val="20"/>
          <w:lang w:val="fr-FR"/>
        </w:rPr>
      </w:pPr>
      <w:r w:rsidRPr="00FC0CA4">
        <w:rPr>
          <w:b/>
          <w:sz w:val="18"/>
          <w:szCs w:val="20"/>
          <w:lang w:val="fr-FR" w:eastAsia="fr-FR" w:bidi="fr-FR"/>
        </w:rPr>
        <w:t>Détection par le propriétaire de l’appareil affecté</w:t>
      </w:r>
    </w:p>
    <w:p w14:paraId="3899ADF3" w14:textId="77777777" w:rsidR="00967282" w:rsidRPr="00FC0CA4" w:rsidRDefault="00D34EF7">
      <w:pPr>
        <w:pStyle w:val="ListBullet2"/>
        <w:rPr>
          <w:sz w:val="18"/>
          <w:szCs w:val="20"/>
          <w:lang w:val="fr-FR"/>
        </w:rPr>
      </w:pPr>
      <w:r w:rsidRPr="00FC0CA4">
        <w:rPr>
          <w:sz w:val="18"/>
          <w:szCs w:val="20"/>
          <w:lang w:val="fr-FR" w:eastAsia="fr-FR" w:bidi="fr-FR"/>
        </w:rPr>
        <w:t>Le propriétaire de l’appareil informe l’équipe IT qu’il a interagi avec un lien et/ou un document malveillant.</w:t>
      </w:r>
    </w:p>
    <w:p w14:paraId="7AB32428" w14:textId="77777777" w:rsidR="00967282" w:rsidRPr="00FC0CA4" w:rsidRDefault="00D34EF7">
      <w:pPr>
        <w:pStyle w:val="ListBullet2"/>
        <w:rPr>
          <w:sz w:val="18"/>
          <w:szCs w:val="20"/>
          <w:lang w:val="fr-FR"/>
        </w:rPr>
      </w:pPr>
      <w:r w:rsidRPr="00FC0CA4">
        <w:rPr>
          <w:sz w:val="18"/>
          <w:szCs w:val="20"/>
          <w:lang w:val="fr-FR" w:eastAsia="fr-FR" w:bidi="fr-FR"/>
        </w:rPr>
        <w:t>Comme ci-dessus, mais l’activité de l’utilisateur a entraîné le téléchargement d’un fichier ou d’un élément similaire sur l’appareil.</w:t>
      </w:r>
    </w:p>
    <w:p w14:paraId="457F0D6A" w14:textId="77777777" w:rsidR="00967282" w:rsidRPr="00FC0CA4" w:rsidRDefault="00D34EF7">
      <w:pPr>
        <w:pStyle w:val="ListBullet2"/>
        <w:rPr>
          <w:sz w:val="18"/>
          <w:szCs w:val="20"/>
          <w:lang w:val="fr-FR"/>
        </w:rPr>
      </w:pPr>
      <w:r w:rsidRPr="00FC0CA4">
        <w:rPr>
          <w:sz w:val="18"/>
          <w:szCs w:val="20"/>
          <w:lang w:val="fr-FR" w:eastAsia="fr-FR" w:bidi="fr-FR"/>
        </w:rPr>
        <w:t>Une activité inattendue ou inhabituelle de l’appareil est observée.</w:t>
      </w:r>
    </w:p>
    <w:p w14:paraId="36327127" w14:textId="77777777" w:rsidR="00967282" w:rsidRPr="00FC0CA4" w:rsidRDefault="00D34EF7">
      <w:pPr>
        <w:pStyle w:val="ListBullet2"/>
        <w:rPr>
          <w:sz w:val="18"/>
          <w:szCs w:val="20"/>
          <w:lang w:val="fr-FR"/>
        </w:rPr>
      </w:pPr>
      <w:r w:rsidRPr="00FC0CA4">
        <w:rPr>
          <w:sz w:val="18"/>
          <w:szCs w:val="20"/>
          <w:lang w:val="fr-FR" w:eastAsia="fr-FR" w:bidi="fr-FR"/>
        </w:rPr>
        <w:t>Identification de nouveaux logiciels ou services inattendus sur l’appareil.</w:t>
      </w:r>
    </w:p>
    <w:p w14:paraId="482BB03F" w14:textId="77777777" w:rsidR="00967282" w:rsidRPr="00FC0CA4" w:rsidRDefault="00D34EF7">
      <w:pPr>
        <w:pStyle w:val="ListBullet2"/>
        <w:rPr>
          <w:sz w:val="18"/>
          <w:szCs w:val="20"/>
          <w:lang w:val="fr-FR"/>
        </w:rPr>
      </w:pPr>
      <w:r w:rsidRPr="00FC0CA4">
        <w:rPr>
          <w:sz w:val="18"/>
          <w:szCs w:val="20"/>
          <w:lang w:val="fr-FR" w:eastAsia="fr-FR" w:bidi="fr-FR"/>
        </w:rPr>
        <w:t>L’utilisateur ne peut pas accéder à son appareil ou aux fichiers qu’il contient.</w:t>
      </w:r>
    </w:p>
    <w:p w14:paraId="4F153AE0" w14:textId="77777777" w:rsidR="00967282" w:rsidRPr="00FC0CA4" w:rsidRDefault="00D34EF7">
      <w:pPr>
        <w:pStyle w:val="ListBullet"/>
        <w:rPr>
          <w:sz w:val="18"/>
          <w:szCs w:val="20"/>
        </w:rPr>
      </w:pPr>
      <w:r w:rsidRPr="00FC0CA4">
        <w:rPr>
          <w:b/>
          <w:sz w:val="18"/>
          <w:szCs w:val="20"/>
          <w:lang w:val="fr-FR" w:eastAsia="fr-FR" w:bidi="fr-FR"/>
        </w:rPr>
        <w:t>Autres méthodes de détection</w:t>
      </w:r>
    </w:p>
    <w:p w14:paraId="7C8082FB" w14:textId="77777777" w:rsidR="00967282" w:rsidRPr="00FC0CA4" w:rsidRDefault="00D34EF7">
      <w:pPr>
        <w:pStyle w:val="ListBullet2"/>
        <w:rPr>
          <w:sz w:val="18"/>
          <w:szCs w:val="20"/>
          <w:lang w:val="fr-FR"/>
        </w:rPr>
      </w:pPr>
      <w:r w:rsidRPr="00FC0CA4">
        <w:rPr>
          <w:sz w:val="18"/>
          <w:szCs w:val="20"/>
          <w:lang w:val="fr-FR" w:eastAsia="fr-FR" w:bidi="fr-FR"/>
        </w:rPr>
        <w:t>Alerte du fournisseur antivirus et mise en quarantaine potentielle d’artefacts suspects.</w:t>
      </w:r>
    </w:p>
    <w:p w14:paraId="692DCEB1" w14:textId="77777777" w:rsidR="00967282" w:rsidRPr="00FC0CA4" w:rsidRDefault="00D34EF7">
      <w:pPr>
        <w:pStyle w:val="ListBullet2"/>
        <w:rPr>
          <w:sz w:val="18"/>
          <w:szCs w:val="20"/>
          <w:lang w:val="fr-FR"/>
        </w:rPr>
      </w:pPr>
      <w:r w:rsidRPr="00FC0CA4">
        <w:rPr>
          <w:sz w:val="18"/>
          <w:szCs w:val="20"/>
          <w:lang w:val="fr-FR" w:eastAsia="fr-FR" w:bidi="fr-FR"/>
        </w:rPr>
        <w:t>Détection par un fournisseur logiciel tiers.</w:t>
      </w:r>
    </w:p>
    <w:p w14:paraId="1D5F51B7" w14:textId="77777777" w:rsidR="00967282" w:rsidRPr="00FC0CA4" w:rsidRDefault="00D34EF7">
      <w:pPr>
        <w:pStyle w:val="ListBullet2"/>
        <w:rPr>
          <w:sz w:val="18"/>
          <w:szCs w:val="20"/>
          <w:lang w:val="fr-FR"/>
        </w:rPr>
      </w:pPr>
      <w:r w:rsidRPr="00FC0CA4">
        <w:rPr>
          <w:sz w:val="18"/>
          <w:szCs w:val="20"/>
          <w:lang w:val="fr-FR" w:eastAsia="fr-FR" w:bidi="fr-FR"/>
        </w:rPr>
        <w:t>Journaux et mécanismes d’alerte du fournisseur de pare-feu.</w:t>
      </w:r>
    </w:p>
    <w:p w14:paraId="6CCEA528" w14:textId="77777777" w:rsidR="00967282" w:rsidRPr="00FC0CA4" w:rsidRDefault="00D34EF7">
      <w:pPr>
        <w:pStyle w:val="ListBullet2"/>
        <w:rPr>
          <w:sz w:val="18"/>
          <w:szCs w:val="20"/>
          <w:lang w:val="fr-FR"/>
        </w:rPr>
      </w:pPr>
      <w:r w:rsidRPr="00FC0CA4">
        <w:rPr>
          <w:sz w:val="18"/>
          <w:szCs w:val="20"/>
          <w:lang w:val="fr-FR" w:eastAsia="fr-FR" w:bidi="fr-FR"/>
        </w:rPr>
        <w:t xml:space="preserve">Communications inattendues provenant de l’appareil affecté, telles que des </w:t>
      </w:r>
      <w:proofErr w:type="gramStart"/>
      <w:r w:rsidRPr="00FC0CA4">
        <w:rPr>
          <w:sz w:val="18"/>
          <w:szCs w:val="20"/>
          <w:lang w:val="fr-FR" w:eastAsia="fr-FR" w:bidi="fr-FR"/>
        </w:rPr>
        <w:t>e-mails</w:t>
      </w:r>
      <w:proofErr w:type="gramEnd"/>
      <w:r w:rsidRPr="00FC0CA4">
        <w:rPr>
          <w:sz w:val="18"/>
          <w:szCs w:val="20"/>
          <w:lang w:val="fr-FR" w:eastAsia="fr-FR" w:bidi="fr-FR"/>
        </w:rPr>
        <w:t xml:space="preserve"> de spam ou des demandes d’élévation de privilèges.</w:t>
      </w:r>
    </w:p>
    <w:p w14:paraId="4EA2DAE7" w14:textId="77777777" w:rsidR="00967282" w:rsidRPr="00FC0CA4" w:rsidRDefault="00D34EF7">
      <w:pPr>
        <w:pStyle w:val="ListBullet2"/>
        <w:rPr>
          <w:sz w:val="18"/>
          <w:szCs w:val="20"/>
          <w:lang w:val="fr-FR"/>
        </w:rPr>
      </w:pPr>
      <w:r w:rsidRPr="00FC0CA4">
        <w:rPr>
          <w:sz w:val="18"/>
          <w:szCs w:val="20"/>
          <w:lang w:val="fr-FR" w:eastAsia="fr-FR" w:bidi="fr-FR"/>
        </w:rPr>
        <w:t>Un représentant des forces de l’ordre ou une autre entité peut signaler qu’un trafic malveillant, ou similaire, a été détecté comme émanant de l’infrastructure de l’entreprise.</w:t>
      </w:r>
    </w:p>
    <w:p w14:paraId="58B4B4FF" w14:textId="77777777" w:rsidR="00967282" w:rsidRPr="00FC0CA4" w:rsidRDefault="00D34EF7">
      <w:pPr>
        <w:pStyle w:val="ListBullet2"/>
        <w:rPr>
          <w:sz w:val="18"/>
          <w:szCs w:val="20"/>
          <w:lang w:val="fr-FR"/>
        </w:rPr>
      </w:pPr>
      <w:r w:rsidRPr="00FC0CA4">
        <w:rPr>
          <w:sz w:val="18"/>
          <w:szCs w:val="20"/>
          <w:lang w:val="fr-FR" w:eastAsia="fr-FR" w:bidi="fr-FR"/>
        </w:rPr>
        <w:t>Détection manuelle par l’équipe d’administration IT.</w:t>
      </w:r>
    </w:p>
    <w:p w14:paraId="279075C0" w14:textId="77777777" w:rsidR="00967282" w:rsidRPr="00FC0CA4" w:rsidRDefault="00D34EF7">
      <w:pPr>
        <w:pStyle w:val="ListBullet"/>
        <w:rPr>
          <w:sz w:val="18"/>
          <w:szCs w:val="20"/>
          <w:lang w:val="fr-FR"/>
        </w:rPr>
      </w:pPr>
      <w:r w:rsidRPr="00FC0CA4">
        <w:rPr>
          <w:b/>
          <w:sz w:val="18"/>
          <w:szCs w:val="20"/>
          <w:lang w:val="fr-FR" w:eastAsia="fr-FR" w:bidi="fr-FR"/>
        </w:rPr>
        <w:t>Détection par alertes SIEM et/ou SOAR</w:t>
      </w:r>
    </w:p>
    <w:p w14:paraId="6C021BCB" w14:textId="77777777" w:rsidR="00967282" w:rsidRPr="00FC0CA4" w:rsidRDefault="00D34EF7">
      <w:pPr>
        <w:pStyle w:val="ListBullet2"/>
        <w:rPr>
          <w:sz w:val="18"/>
          <w:szCs w:val="20"/>
          <w:lang w:val="fr-FR"/>
        </w:rPr>
      </w:pPr>
      <w:r w:rsidRPr="00FC0CA4">
        <w:rPr>
          <w:sz w:val="18"/>
          <w:szCs w:val="20"/>
          <w:lang w:val="fr-FR" w:eastAsia="fr-FR" w:bidi="fr-FR"/>
        </w:rPr>
        <w:t>L’appareil tentant d’exécuter ou d’installer le malware peut déclencher des alertes dans les systèmes de supervision de sécurité, soit directement en raison de l’exécution d’un code malveillant reconnu sur l’appareil, soit indirectement à la suite d’une action réalisée par le malware.</w:t>
      </w:r>
    </w:p>
    <w:p w14:paraId="27F11ACE" w14:textId="77777777" w:rsidR="00967282" w:rsidRPr="00FC0CA4" w:rsidRDefault="00D34EF7">
      <w:pPr>
        <w:pStyle w:val="ListBullet2"/>
        <w:rPr>
          <w:sz w:val="18"/>
          <w:szCs w:val="20"/>
          <w:lang w:val="fr-FR"/>
        </w:rPr>
      </w:pPr>
      <w:r w:rsidRPr="00FC0CA4">
        <w:rPr>
          <w:sz w:val="18"/>
          <w:szCs w:val="20"/>
          <w:lang w:val="fr-FR" w:eastAsia="fr-FR" w:bidi="fr-FR"/>
        </w:rPr>
        <w:t>Par exemple, la création d’une activité de commande et contrôle et/ou le lancement de commandes inattendues via PowerShell. Les alertes supplémentaires observables dans une plateforme SOC/SIEM peuvent inclure :</w:t>
      </w:r>
    </w:p>
    <w:p w14:paraId="679E2594" w14:textId="77777777" w:rsidR="00967282" w:rsidRPr="00FC0CA4" w:rsidRDefault="00D34EF7">
      <w:pPr>
        <w:pStyle w:val="ListBullet2"/>
        <w:rPr>
          <w:sz w:val="18"/>
          <w:szCs w:val="20"/>
          <w:lang w:val="fr-FR"/>
        </w:rPr>
      </w:pPr>
      <w:r w:rsidRPr="00FC0CA4">
        <w:rPr>
          <w:sz w:val="18"/>
          <w:szCs w:val="20"/>
          <w:lang w:val="fr-FR" w:eastAsia="fr-FR" w:bidi="fr-FR"/>
        </w:rPr>
        <w:t>Activité de mouvement latéral détectée.</w:t>
      </w:r>
    </w:p>
    <w:p w14:paraId="39148950" w14:textId="77777777" w:rsidR="00967282" w:rsidRPr="00FC0CA4" w:rsidRDefault="00D34EF7">
      <w:pPr>
        <w:pStyle w:val="ListBullet2"/>
        <w:rPr>
          <w:sz w:val="18"/>
          <w:szCs w:val="20"/>
          <w:lang w:val="fr-FR"/>
        </w:rPr>
      </w:pPr>
      <w:r w:rsidRPr="00FC0CA4">
        <w:rPr>
          <w:sz w:val="18"/>
          <w:szCs w:val="20"/>
          <w:lang w:val="fr-FR" w:eastAsia="fr-FR" w:bidi="fr-FR"/>
        </w:rPr>
        <w:t>Détection de code à faible réputation.</w:t>
      </w:r>
    </w:p>
    <w:p w14:paraId="63E4A724" w14:textId="77777777" w:rsidR="00967282" w:rsidRPr="00FC0CA4" w:rsidRDefault="00D34EF7">
      <w:pPr>
        <w:pStyle w:val="ListBullet2"/>
        <w:rPr>
          <w:sz w:val="18"/>
          <w:szCs w:val="20"/>
        </w:rPr>
      </w:pPr>
      <w:r w:rsidRPr="00FC0CA4">
        <w:rPr>
          <w:sz w:val="18"/>
          <w:szCs w:val="20"/>
          <w:lang w:val="fr-FR" w:eastAsia="fr-FR" w:bidi="fr-FR"/>
        </w:rPr>
        <w:t>Commandes PowerShell suspectes.</w:t>
      </w:r>
    </w:p>
    <w:p w14:paraId="55ECEB31" w14:textId="77777777" w:rsidR="00967282" w:rsidRPr="00FC0CA4" w:rsidRDefault="00D34EF7">
      <w:pPr>
        <w:pStyle w:val="ListBullet2"/>
        <w:rPr>
          <w:sz w:val="18"/>
          <w:szCs w:val="20"/>
          <w:lang w:val="fr-FR"/>
        </w:rPr>
      </w:pPr>
      <w:r w:rsidRPr="00FC0CA4">
        <w:rPr>
          <w:sz w:val="18"/>
          <w:szCs w:val="20"/>
          <w:lang w:val="fr-FR" w:eastAsia="fr-FR" w:bidi="fr-FR"/>
        </w:rPr>
        <w:t>Activités d’élévation de privilèges et/ou création de nouveaux comptes.</w:t>
      </w:r>
    </w:p>
    <w:p w14:paraId="7D078BD7" w14:textId="5B9832FC" w:rsidR="00967282" w:rsidRPr="00FC0CA4" w:rsidRDefault="00D34EF7">
      <w:pPr>
        <w:pStyle w:val="ListBullet2"/>
        <w:rPr>
          <w:sz w:val="18"/>
          <w:szCs w:val="20"/>
          <w:lang w:val="fr-FR"/>
        </w:rPr>
      </w:pPr>
      <w:r w:rsidRPr="00FC0CA4">
        <w:rPr>
          <w:sz w:val="18"/>
          <w:szCs w:val="20"/>
          <w:lang w:val="fr-FR" w:eastAsia="fr-FR" w:bidi="fr-FR"/>
        </w:rPr>
        <w:t xml:space="preserve">Trafic de commande et contrôle </w:t>
      </w:r>
      <w:r w:rsidR="00FC0CA4" w:rsidRPr="00FC0CA4">
        <w:rPr>
          <w:sz w:val="18"/>
          <w:szCs w:val="20"/>
          <w:lang w:val="fr-FR" w:eastAsia="fr-FR" w:bidi="fr-FR"/>
        </w:rPr>
        <w:t>détecter</w:t>
      </w:r>
      <w:r w:rsidRPr="00FC0CA4">
        <w:rPr>
          <w:sz w:val="18"/>
          <w:szCs w:val="20"/>
          <w:lang w:val="fr-FR" w:eastAsia="fr-FR" w:bidi="fr-FR"/>
        </w:rPr>
        <w:t>.</w:t>
      </w:r>
    </w:p>
    <w:p w14:paraId="258CBD87" w14:textId="77777777" w:rsidR="00967282" w:rsidRPr="00FC0CA4" w:rsidRDefault="00D34EF7">
      <w:pPr>
        <w:pStyle w:val="ListBullet2"/>
        <w:rPr>
          <w:sz w:val="18"/>
          <w:szCs w:val="20"/>
        </w:rPr>
      </w:pPr>
      <w:r w:rsidRPr="00FC0CA4">
        <w:rPr>
          <w:sz w:val="18"/>
          <w:szCs w:val="20"/>
          <w:lang w:val="fr-FR" w:eastAsia="fr-FR" w:bidi="fr-FR"/>
        </w:rPr>
        <w:t>Installation d’exécutables.</w:t>
      </w:r>
    </w:p>
    <w:p w14:paraId="234FB8CA" w14:textId="77777777" w:rsidR="00967282" w:rsidRPr="00FC0CA4" w:rsidRDefault="00D34EF7">
      <w:pPr>
        <w:pStyle w:val="ListBullet2"/>
        <w:rPr>
          <w:sz w:val="18"/>
          <w:szCs w:val="20"/>
          <w:lang w:val="fr-FR"/>
        </w:rPr>
      </w:pPr>
      <w:r w:rsidRPr="00FC0CA4">
        <w:rPr>
          <w:sz w:val="18"/>
          <w:szCs w:val="20"/>
          <w:lang w:val="fr-FR" w:eastAsia="fr-FR" w:bidi="fr-FR"/>
        </w:rPr>
        <w:t xml:space="preserve">Détection d’outils spécifiques, par exemple </w:t>
      </w:r>
      <w:proofErr w:type="spellStart"/>
      <w:r w:rsidRPr="00FC0CA4">
        <w:rPr>
          <w:sz w:val="18"/>
          <w:szCs w:val="20"/>
          <w:lang w:val="fr-FR" w:eastAsia="fr-FR" w:bidi="fr-FR"/>
        </w:rPr>
        <w:t>Mimikatz</w:t>
      </w:r>
      <w:proofErr w:type="spellEnd"/>
      <w:r w:rsidRPr="00FC0CA4">
        <w:rPr>
          <w:sz w:val="18"/>
          <w:szCs w:val="20"/>
          <w:lang w:val="fr-FR" w:eastAsia="fr-FR" w:bidi="fr-FR"/>
        </w:rPr>
        <w:t>, Cobalt Strike, etc.</w:t>
      </w:r>
    </w:p>
    <w:p w14:paraId="4470E191" w14:textId="77777777" w:rsidR="00967282" w:rsidRPr="00FC0CA4" w:rsidRDefault="00D34EF7">
      <w:pPr>
        <w:pStyle w:val="ListBullet2"/>
        <w:rPr>
          <w:sz w:val="18"/>
          <w:szCs w:val="20"/>
          <w:lang w:val="fr-FR"/>
        </w:rPr>
      </w:pPr>
      <w:r w:rsidRPr="00FC0CA4">
        <w:rPr>
          <w:sz w:val="18"/>
          <w:szCs w:val="20"/>
          <w:lang w:val="fr-FR" w:eastAsia="fr-FR" w:bidi="fr-FR"/>
        </w:rPr>
        <w:t>Alertes de prévention d’incident de données.</w:t>
      </w:r>
    </w:p>
    <w:p w14:paraId="398A5CC1" w14:textId="5AB34792" w:rsidR="00967282" w:rsidRDefault="009B059F">
      <w:pPr>
        <w:pStyle w:val="Heading2"/>
      </w:pPr>
      <w:bookmarkStart w:id="2" w:name="_Toc236069814"/>
      <w:r>
        <w:rPr>
          <w:lang w:val="fr-FR" w:eastAsia="fr-FR" w:bidi="fr-FR"/>
        </w:rPr>
        <w:t xml:space="preserve">1.2 </w:t>
      </w:r>
      <w:r w:rsidR="00D34EF7">
        <w:rPr>
          <w:lang w:val="fr-FR" w:eastAsia="fr-FR" w:bidi="fr-FR"/>
        </w:rPr>
        <w:t>Rôles et responsabilités</w:t>
      </w:r>
      <w:bookmarkEnd w:id="2"/>
    </w:p>
    <w:p w14:paraId="0C15333B" w14:textId="77777777" w:rsidR="00967282" w:rsidRPr="00E360EC" w:rsidRDefault="00D34EF7">
      <w:pPr>
        <w:pStyle w:val="ListBullet"/>
        <w:rPr>
          <w:sz w:val="18"/>
          <w:szCs w:val="20"/>
          <w:lang w:val="fr-FR"/>
        </w:rPr>
      </w:pPr>
      <w:r w:rsidRPr="00E360EC">
        <w:rPr>
          <w:sz w:val="18"/>
          <w:szCs w:val="20"/>
          <w:lang w:val="fr-FR" w:eastAsia="fr-FR" w:bidi="fr-FR"/>
        </w:rPr>
        <w:t>Les rôles et responsabilités de l’équipe de réponse aux incidents de cybersécurité (CSIRT) sont définis à la section 3 du Plan de réponse aux incidents de cybersécurité.</w:t>
      </w:r>
    </w:p>
    <w:p w14:paraId="245B0D1E" w14:textId="0C7B168C" w:rsidR="00967282" w:rsidRPr="0019251F" w:rsidRDefault="009B059F">
      <w:pPr>
        <w:pStyle w:val="Heading2"/>
        <w:rPr>
          <w:lang w:val="fr-FR"/>
        </w:rPr>
      </w:pPr>
      <w:bookmarkStart w:id="3" w:name="_Toc236069815"/>
      <w:r>
        <w:rPr>
          <w:lang w:val="fr-FR" w:eastAsia="fr-FR" w:bidi="fr-FR"/>
        </w:rPr>
        <w:t xml:space="preserve">1.3 </w:t>
      </w:r>
      <w:r w:rsidR="00D34EF7">
        <w:rPr>
          <w:lang w:val="fr-FR" w:eastAsia="fr-FR" w:bidi="fr-FR"/>
        </w:rPr>
        <w:t>Étapes de réponse</w:t>
      </w:r>
      <w:bookmarkEnd w:id="3"/>
    </w:p>
    <w:p w14:paraId="5412F198" w14:textId="77777777" w:rsidR="00967282" w:rsidRPr="00E360EC" w:rsidRDefault="00D34EF7">
      <w:pPr>
        <w:rPr>
          <w:sz w:val="18"/>
          <w:szCs w:val="20"/>
          <w:lang w:val="fr-FR"/>
        </w:rPr>
      </w:pPr>
      <w:r w:rsidRPr="00E360EC">
        <w:rPr>
          <w:sz w:val="18"/>
          <w:szCs w:val="20"/>
          <w:lang w:val="fr-FR" w:eastAsia="fr-FR" w:bidi="fr-FR"/>
        </w:rPr>
        <w:t>Un schéma fournissant des orientations supplémentaires est inclus à la fin de ce guide.</w:t>
      </w:r>
    </w:p>
    <w:p w14:paraId="75CB28CF" w14:textId="77777777" w:rsidR="00967282" w:rsidRPr="0019251F" w:rsidRDefault="00D34EF7">
      <w:pPr>
        <w:pStyle w:val="Heading2"/>
        <w:rPr>
          <w:lang w:val="fr-FR"/>
        </w:rPr>
      </w:pPr>
      <w:bookmarkStart w:id="4" w:name="_Toc236069816"/>
      <w:r>
        <w:rPr>
          <w:lang w:val="fr-FR" w:eastAsia="fr-FR" w:bidi="fr-FR"/>
        </w:rPr>
        <w:lastRenderedPageBreak/>
        <w:t>Triage</w:t>
      </w:r>
      <w:bookmarkEnd w:id="4"/>
    </w:p>
    <w:p w14:paraId="0DE9902D" w14:textId="77777777" w:rsidR="00967282" w:rsidRPr="000817C6" w:rsidRDefault="00D34EF7">
      <w:pPr>
        <w:rPr>
          <w:sz w:val="18"/>
          <w:szCs w:val="20"/>
          <w:lang w:val="fr-FR"/>
        </w:rPr>
      </w:pPr>
      <w:r w:rsidRPr="000817C6">
        <w:rPr>
          <w:sz w:val="18"/>
          <w:szCs w:val="20"/>
          <w:lang w:val="fr-FR" w:eastAsia="fr-FR" w:bidi="fr-FR"/>
        </w:rPr>
        <w:t>Les actions réactives initiales visant à établir son étendue, son impact et sa sévérité incluent :</w:t>
      </w:r>
    </w:p>
    <w:p w14:paraId="544CD54E" w14:textId="77777777" w:rsidR="00967282" w:rsidRPr="000817C6" w:rsidRDefault="00D34EF7">
      <w:pPr>
        <w:pStyle w:val="ListBullet"/>
        <w:rPr>
          <w:sz w:val="18"/>
          <w:szCs w:val="20"/>
        </w:rPr>
      </w:pPr>
      <w:r w:rsidRPr="000817C6">
        <w:rPr>
          <w:b/>
          <w:sz w:val="18"/>
          <w:szCs w:val="20"/>
          <w:lang w:val="fr-FR" w:eastAsia="fr-FR" w:bidi="fr-FR"/>
        </w:rPr>
        <w:t>Vérification initiale</w:t>
      </w:r>
    </w:p>
    <w:p w14:paraId="229FEBB4" w14:textId="77777777" w:rsidR="00967282" w:rsidRPr="000817C6" w:rsidRDefault="00D34EF7">
      <w:pPr>
        <w:pStyle w:val="ListBullet2"/>
        <w:rPr>
          <w:sz w:val="18"/>
          <w:szCs w:val="20"/>
          <w:lang w:val="fr-FR"/>
        </w:rPr>
      </w:pPr>
      <w:r w:rsidRPr="000817C6">
        <w:rPr>
          <w:sz w:val="18"/>
          <w:szCs w:val="20"/>
          <w:lang w:val="fr-FR" w:eastAsia="fr-FR" w:bidi="fr-FR"/>
        </w:rPr>
        <w:t>Examiner le mécanisme de détection, par exemple une alerte SOC/SIEM, un utilisateur affecté ou des fichiers chiffrés.</w:t>
      </w:r>
    </w:p>
    <w:p w14:paraId="6C220E1D" w14:textId="77777777" w:rsidR="00967282" w:rsidRPr="000817C6" w:rsidRDefault="00D34EF7">
      <w:pPr>
        <w:pStyle w:val="ListBullet2"/>
        <w:rPr>
          <w:sz w:val="18"/>
          <w:szCs w:val="20"/>
          <w:lang w:val="fr-FR"/>
        </w:rPr>
      </w:pPr>
      <w:r w:rsidRPr="000817C6">
        <w:rPr>
          <w:sz w:val="18"/>
          <w:szCs w:val="20"/>
          <w:lang w:val="fr-FR" w:eastAsia="fr-FR" w:bidi="fr-FR"/>
        </w:rPr>
        <w:t>Établir le mécanisme initial de livraison, si possible.</w:t>
      </w:r>
    </w:p>
    <w:p w14:paraId="71845170" w14:textId="77777777" w:rsidR="00967282" w:rsidRPr="000817C6" w:rsidRDefault="00D34EF7">
      <w:pPr>
        <w:pStyle w:val="ListBullet2"/>
        <w:rPr>
          <w:sz w:val="18"/>
          <w:szCs w:val="20"/>
          <w:lang w:val="fr-FR"/>
        </w:rPr>
      </w:pPr>
      <w:r w:rsidRPr="000817C6">
        <w:rPr>
          <w:sz w:val="18"/>
          <w:szCs w:val="20"/>
          <w:lang w:val="fr-FR" w:eastAsia="fr-FR" w:bidi="fr-FR"/>
        </w:rPr>
        <w:t>Identifier le ou les comptes utilisateurs associés.</w:t>
      </w:r>
    </w:p>
    <w:p w14:paraId="7C352CE5" w14:textId="77777777" w:rsidR="00967282" w:rsidRPr="000817C6" w:rsidRDefault="00D34EF7">
      <w:pPr>
        <w:pStyle w:val="ListBullet2"/>
        <w:rPr>
          <w:sz w:val="18"/>
          <w:szCs w:val="20"/>
          <w:lang w:val="fr-FR"/>
        </w:rPr>
      </w:pPr>
      <w:r w:rsidRPr="000817C6">
        <w:rPr>
          <w:sz w:val="18"/>
          <w:szCs w:val="20"/>
          <w:lang w:val="fr-FR" w:eastAsia="fr-FR" w:bidi="fr-FR"/>
        </w:rPr>
        <w:t>Identifier le périmètre initial de l’infection, notamment le nombre d’appareils concernés et si l’infection se propage.</w:t>
      </w:r>
    </w:p>
    <w:p w14:paraId="1F084D19" w14:textId="77777777" w:rsidR="00967282" w:rsidRPr="000817C6" w:rsidRDefault="00D34EF7">
      <w:pPr>
        <w:pStyle w:val="ListBullet2"/>
        <w:rPr>
          <w:sz w:val="18"/>
          <w:szCs w:val="20"/>
          <w:lang w:val="fr-FR"/>
        </w:rPr>
      </w:pPr>
      <w:r w:rsidRPr="000817C6">
        <w:rPr>
          <w:sz w:val="18"/>
          <w:szCs w:val="20"/>
          <w:lang w:val="fr-FR" w:eastAsia="fr-FR" w:bidi="fr-FR"/>
        </w:rPr>
        <w:t>Déterminer si le malware a été traité, mis en quarantaine ou bloqué par une fonction anti-malware.</w:t>
      </w:r>
    </w:p>
    <w:p w14:paraId="1C826DF5" w14:textId="0D98C7EC" w:rsidR="00967282" w:rsidRPr="000817C6" w:rsidRDefault="00D34EF7">
      <w:pPr>
        <w:pStyle w:val="ListBullet2"/>
        <w:rPr>
          <w:sz w:val="18"/>
          <w:szCs w:val="20"/>
          <w:lang w:val="fr-FR"/>
        </w:rPr>
      </w:pPr>
      <w:r w:rsidRPr="000817C6">
        <w:rPr>
          <w:sz w:val="18"/>
          <w:szCs w:val="20"/>
          <w:lang w:val="fr-FR" w:eastAsia="fr-FR" w:bidi="fr-FR"/>
        </w:rPr>
        <w:t xml:space="preserve">Si le mécanisme de livraison est </w:t>
      </w:r>
      <w:r w:rsidR="000817C6" w:rsidRPr="000817C6">
        <w:rPr>
          <w:sz w:val="18"/>
          <w:szCs w:val="20"/>
          <w:lang w:val="fr-FR" w:eastAsia="fr-FR" w:bidi="fr-FR"/>
        </w:rPr>
        <w:t>le courriel</w:t>
      </w:r>
      <w:r w:rsidRPr="000817C6">
        <w:rPr>
          <w:sz w:val="18"/>
          <w:szCs w:val="20"/>
          <w:lang w:val="fr-FR" w:eastAsia="fr-FR" w:bidi="fr-FR"/>
        </w:rPr>
        <w:t>, vérifier les autres destinataires.</w:t>
      </w:r>
    </w:p>
    <w:p w14:paraId="52C11A7B" w14:textId="77777777" w:rsidR="00967282" w:rsidRPr="000817C6" w:rsidRDefault="00D34EF7">
      <w:pPr>
        <w:pStyle w:val="ListBullet"/>
        <w:rPr>
          <w:sz w:val="18"/>
          <w:szCs w:val="20"/>
        </w:rPr>
      </w:pPr>
      <w:r w:rsidRPr="000817C6">
        <w:rPr>
          <w:b/>
          <w:sz w:val="18"/>
          <w:szCs w:val="20"/>
          <w:lang w:val="fr-FR" w:eastAsia="fr-FR" w:bidi="fr-FR"/>
        </w:rPr>
        <w:t>Évaluer l’impact métier</w:t>
      </w:r>
    </w:p>
    <w:p w14:paraId="5521CFA7" w14:textId="77777777" w:rsidR="00967282" w:rsidRPr="000817C6" w:rsidRDefault="00D34EF7">
      <w:pPr>
        <w:pStyle w:val="ListBullet2"/>
        <w:rPr>
          <w:sz w:val="18"/>
          <w:szCs w:val="20"/>
          <w:lang w:val="fr-FR"/>
        </w:rPr>
      </w:pPr>
      <w:r w:rsidRPr="000817C6">
        <w:rPr>
          <w:sz w:val="18"/>
          <w:szCs w:val="20"/>
          <w:lang w:val="fr-FR" w:eastAsia="fr-FR" w:bidi="fr-FR"/>
        </w:rPr>
        <w:t>Lorsque les opérations métier quotidiennes peuvent être affectées, les plans de continuité d’activité doivent être activés afin d’atténuer l’impact sur les opérations, selon la sévérité de l’incident.</w:t>
      </w:r>
    </w:p>
    <w:p w14:paraId="0D2813E3" w14:textId="77777777" w:rsidR="00967282" w:rsidRPr="002D1F82" w:rsidRDefault="00D34EF7">
      <w:pPr>
        <w:pStyle w:val="ListBullet"/>
        <w:rPr>
          <w:sz w:val="18"/>
          <w:szCs w:val="20"/>
        </w:rPr>
      </w:pPr>
      <w:r w:rsidRPr="002D1F82">
        <w:rPr>
          <w:b/>
          <w:sz w:val="18"/>
          <w:szCs w:val="20"/>
          <w:lang w:val="fr-FR" w:eastAsia="fr-FR" w:bidi="fr-FR"/>
        </w:rPr>
        <w:t xml:space="preserve">Documenter les premiers </w:t>
      </w:r>
      <w:proofErr w:type="spellStart"/>
      <w:r w:rsidRPr="002D1F82">
        <w:rPr>
          <w:b/>
          <w:sz w:val="18"/>
          <w:szCs w:val="20"/>
          <w:lang w:val="fr-FR" w:eastAsia="fr-FR" w:bidi="fr-FR"/>
        </w:rPr>
        <w:t>IoC</w:t>
      </w:r>
      <w:proofErr w:type="spellEnd"/>
    </w:p>
    <w:p w14:paraId="558F9340" w14:textId="77777777" w:rsidR="00967282" w:rsidRPr="002D1F82" w:rsidRDefault="00D34EF7">
      <w:pPr>
        <w:pStyle w:val="ListBullet2"/>
        <w:rPr>
          <w:sz w:val="18"/>
          <w:szCs w:val="20"/>
          <w:lang w:val="fr-FR"/>
        </w:rPr>
      </w:pPr>
      <w:r w:rsidRPr="002D1F82">
        <w:rPr>
          <w:sz w:val="18"/>
          <w:szCs w:val="20"/>
          <w:lang w:val="fr-FR" w:eastAsia="fr-FR" w:bidi="fr-FR"/>
        </w:rPr>
        <w:t>Identifier et consigner tout indicateur de compromission (IoC) initial observé pendant le triage.</w:t>
      </w:r>
    </w:p>
    <w:p w14:paraId="0010E967" w14:textId="77777777" w:rsidR="00967282" w:rsidRPr="002D1F82" w:rsidRDefault="00D34EF7">
      <w:pPr>
        <w:pStyle w:val="ListBullet2"/>
        <w:rPr>
          <w:sz w:val="18"/>
          <w:szCs w:val="20"/>
        </w:rPr>
      </w:pPr>
      <w:r w:rsidRPr="002D1F82">
        <w:rPr>
          <w:sz w:val="18"/>
          <w:szCs w:val="20"/>
          <w:lang w:val="fr-FR" w:eastAsia="fr-FR" w:bidi="fr-FR"/>
        </w:rPr>
        <w:t>Adresses IP</w:t>
      </w:r>
    </w:p>
    <w:p w14:paraId="23D6BE28" w14:textId="77777777" w:rsidR="00967282" w:rsidRPr="002D1F82" w:rsidRDefault="00D34EF7">
      <w:pPr>
        <w:pStyle w:val="ListBullet2"/>
        <w:rPr>
          <w:sz w:val="18"/>
          <w:szCs w:val="20"/>
        </w:rPr>
      </w:pPr>
      <w:r w:rsidRPr="002D1F82">
        <w:rPr>
          <w:sz w:val="18"/>
          <w:szCs w:val="20"/>
          <w:lang w:val="fr-FR" w:eastAsia="fr-FR" w:bidi="fr-FR"/>
        </w:rPr>
        <w:t>URL et redirections</w:t>
      </w:r>
    </w:p>
    <w:p w14:paraId="0049BEAE" w14:textId="77777777" w:rsidR="00967282" w:rsidRPr="002D1F82" w:rsidRDefault="00D34EF7">
      <w:pPr>
        <w:pStyle w:val="ListBullet2"/>
        <w:rPr>
          <w:sz w:val="18"/>
          <w:szCs w:val="20"/>
        </w:rPr>
      </w:pPr>
      <w:r w:rsidRPr="002D1F82">
        <w:rPr>
          <w:sz w:val="18"/>
          <w:szCs w:val="20"/>
          <w:lang w:val="fr-FR" w:eastAsia="fr-FR" w:bidi="fr-FR"/>
        </w:rPr>
        <w:t>Domaines</w:t>
      </w:r>
    </w:p>
    <w:p w14:paraId="2824D887" w14:textId="77777777" w:rsidR="00967282" w:rsidRPr="002D1F82" w:rsidRDefault="00D34EF7">
      <w:pPr>
        <w:pStyle w:val="ListBullet2"/>
        <w:rPr>
          <w:sz w:val="18"/>
          <w:szCs w:val="20"/>
        </w:rPr>
      </w:pPr>
      <w:r w:rsidRPr="002D1F82">
        <w:rPr>
          <w:sz w:val="18"/>
          <w:szCs w:val="20"/>
          <w:lang w:val="fr-FR" w:eastAsia="fr-FR" w:bidi="fr-FR"/>
        </w:rPr>
        <w:t>Sites web</w:t>
      </w:r>
    </w:p>
    <w:p w14:paraId="2893792E" w14:textId="77777777" w:rsidR="00967282" w:rsidRPr="002D1F82" w:rsidRDefault="00D34EF7">
      <w:pPr>
        <w:pStyle w:val="ListBullet2"/>
        <w:rPr>
          <w:sz w:val="18"/>
          <w:szCs w:val="20"/>
          <w:lang w:val="fr-FR"/>
        </w:rPr>
      </w:pPr>
      <w:r w:rsidRPr="002D1F82">
        <w:rPr>
          <w:sz w:val="18"/>
          <w:szCs w:val="20"/>
          <w:lang w:val="fr-FR" w:eastAsia="fr-FR" w:bidi="fr-FR"/>
        </w:rPr>
        <w:t>Nom/type d’exécutable (dll, msi, exe ou autre)</w:t>
      </w:r>
    </w:p>
    <w:p w14:paraId="3C9C9C2C" w14:textId="77777777" w:rsidR="00967282" w:rsidRPr="002D1F82" w:rsidRDefault="00D34EF7">
      <w:pPr>
        <w:pStyle w:val="ListBullet2"/>
        <w:rPr>
          <w:sz w:val="18"/>
          <w:szCs w:val="20"/>
        </w:rPr>
      </w:pPr>
      <w:r w:rsidRPr="002D1F82">
        <w:rPr>
          <w:sz w:val="18"/>
          <w:szCs w:val="20"/>
          <w:lang w:val="fr-FR" w:eastAsia="fr-FR" w:bidi="fr-FR"/>
        </w:rPr>
        <w:t>Noms de fichiers</w:t>
      </w:r>
    </w:p>
    <w:p w14:paraId="5F20223E" w14:textId="77777777" w:rsidR="00967282" w:rsidRPr="002D1F82" w:rsidRDefault="00D34EF7">
      <w:pPr>
        <w:pStyle w:val="ListBullet2"/>
        <w:rPr>
          <w:sz w:val="18"/>
          <w:szCs w:val="20"/>
        </w:rPr>
      </w:pPr>
      <w:r w:rsidRPr="002D1F82">
        <w:rPr>
          <w:sz w:val="18"/>
          <w:szCs w:val="20"/>
          <w:lang w:val="fr-FR" w:eastAsia="fr-FR" w:bidi="fr-FR"/>
        </w:rPr>
        <w:t>Hashs de fichiers</w:t>
      </w:r>
    </w:p>
    <w:p w14:paraId="6ECE91B1" w14:textId="77777777" w:rsidR="00967282" w:rsidRPr="002D1F82" w:rsidRDefault="00D34EF7">
      <w:pPr>
        <w:pStyle w:val="ListBullet2"/>
        <w:rPr>
          <w:sz w:val="18"/>
          <w:szCs w:val="20"/>
        </w:rPr>
      </w:pPr>
      <w:r w:rsidRPr="002D1F82">
        <w:rPr>
          <w:sz w:val="18"/>
          <w:szCs w:val="20"/>
          <w:lang w:val="fr-FR" w:eastAsia="fr-FR" w:bidi="fr-FR"/>
        </w:rPr>
        <w:t>Objet de l’e-mail</w:t>
      </w:r>
    </w:p>
    <w:p w14:paraId="05B82618" w14:textId="2734DA31" w:rsidR="00967282" w:rsidRPr="002D1F82" w:rsidRDefault="00D34EF7">
      <w:pPr>
        <w:pStyle w:val="ListBullet2"/>
        <w:rPr>
          <w:sz w:val="18"/>
          <w:szCs w:val="20"/>
          <w:lang w:val="fr-FR"/>
        </w:rPr>
      </w:pPr>
      <w:r w:rsidRPr="002D1F82">
        <w:rPr>
          <w:sz w:val="18"/>
          <w:szCs w:val="20"/>
          <w:lang w:val="fr-FR" w:eastAsia="fr-FR" w:bidi="fr-FR"/>
        </w:rPr>
        <w:t xml:space="preserve">Expéditeur </w:t>
      </w:r>
      <w:r w:rsidR="002D1F82" w:rsidRPr="002D1F82">
        <w:rPr>
          <w:sz w:val="18"/>
          <w:szCs w:val="20"/>
          <w:lang w:val="fr-FR" w:eastAsia="fr-FR" w:bidi="fr-FR"/>
        </w:rPr>
        <w:t>du courriel</w:t>
      </w:r>
      <w:r w:rsidRPr="002D1F82">
        <w:rPr>
          <w:sz w:val="18"/>
          <w:szCs w:val="20"/>
          <w:lang w:val="fr-FR" w:eastAsia="fr-FR" w:bidi="fr-FR"/>
        </w:rPr>
        <w:t xml:space="preserve"> (vérifier également les en-têtes)</w:t>
      </w:r>
    </w:p>
    <w:p w14:paraId="049A24B0" w14:textId="77777777" w:rsidR="00967282" w:rsidRPr="002D1F82" w:rsidRDefault="00D34EF7">
      <w:pPr>
        <w:pStyle w:val="ListBullet"/>
        <w:rPr>
          <w:sz w:val="18"/>
          <w:szCs w:val="20"/>
          <w:lang w:val="fr-FR"/>
        </w:rPr>
      </w:pPr>
      <w:r w:rsidRPr="002D1F82">
        <w:rPr>
          <w:b/>
          <w:sz w:val="18"/>
          <w:szCs w:val="20"/>
          <w:lang w:val="fr-FR" w:eastAsia="fr-FR" w:bidi="fr-FR"/>
        </w:rPr>
        <w:t>Établir une chronologie initiale des événements</w:t>
      </w:r>
    </w:p>
    <w:p w14:paraId="287E2FBB" w14:textId="77777777" w:rsidR="00967282" w:rsidRPr="002D1F82" w:rsidRDefault="00D34EF7">
      <w:pPr>
        <w:pStyle w:val="ListBullet2"/>
        <w:rPr>
          <w:sz w:val="18"/>
          <w:szCs w:val="20"/>
          <w:lang w:val="fr-FR"/>
        </w:rPr>
      </w:pPr>
      <w:r w:rsidRPr="002D1F82">
        <w:rPr>
          <w:sz w:val="18"/>
          <w:szCs w:val="20"/>
          <w:lang w:val="fr-FR" w:eastAsia="fr-FR" w:bidi="fr-FR"/>
        </w:rPr>
        <w:t>Noter les éléments pertinents tels que :</w:t>
      </w:r>
    </w:p>
    <w:p w14:paraId="0BF9F0D4" w14:textId="77777777" w:rsidR="00967282" w:rsidRPr="002D1F82" w:rsidRDefault="00D34EF7">
      <w:pPr>
        <w:pStyle w:val="ListBullet2"/>
        <w:rPr>
          <w:sz w:val="18"/>
          <w:szCs w:val="20"/>
          <w:lang w:val="fr-FR"/>
        </w:rPr>
      </w:pPr>
      <w:r w:rsidRPr="002D1F82">
        <w:rPr>
          <w:sz w:val="18"/>
          <w:szCs w:val="20"/>
          <w:lang w:val="fr-FR" w:eastAsia="fr-FR" w:bidi="fr-FR"/>
        </w:rPr>
        <w:t>Utilisateurs et terminaux affectés (étendue de l’infection).</w:t>
      </w:r>
    </w:p>
    <w:p w14:paraId="0E98AAF8" w14:textId="77777777" w:rsidR="00967282" w:rsidRPr="002D1F82" w:rsidRDefault="00D34EF7">
      <w:pPr>
        <w:pStyle w:val="ListBullet2"/>
        <w:rPr>
          <w:sz w:val="18"/>
          <w:szCs w:val="20"/>
          <w:lang w:val="fr-FR"/>
        </w:rPr>
      </w:pPr>
      <w:r w:rsidRPr="002D1F82">
        <w:rPr>
          <w:sz w:val="18"/>
          <w:szCs w:val="20"/>
          <w:lang w:val="fr-FR" w:eastAsia="fr-FR" w:bidi="fr-FR"/>
        </w:rPr>
        <w:t>Comportement malveillant identifié sur le ou les appareils affectés.</w:t>
      </w:r>
    </w:p>
    <w:p w14:paraId="11E3972E" w14:textId="77777777" w:rsidR="00967282" w:rsidRPr="002D1F82" w:rsidRDefault="00D34EF7">
      <w:pPr>
        <w:pStyle w:val="ListBullet2"/>
        <w:rPr>
          <w:sz w:val="18"/>
          <w:szCs w:val="20"/>
        </w:rPr>
      </w:pPr>
      <w:r w:rsidRPr="002D1F82">
        <w:rPr>
          <w:sz w:val="18"/>
          <w:szCs w:val="20"/>
          <w:lang w:val="fr-FR" w:eastAsia="fr-FR" w:bidi="fr-FR"/>
        </w:rPr>
        <w:t>Autres actifs affectés.</w:t>
      </w:r>
    </w:p>
    <w:p w14:paraId="632B8432" w14:textId="77777777" w:rsidR="00967282" w:rsidRPr="002D1F82" w:rsidRDefault="00D34EF7">
      <w:pPr>
        <w:pStyle w:val="ListBullet2"/>
        <w:rPr>
          <w:sz w:val="18"/>
          <w:szCs w:val="20"/>
          <w:lang w:val="fr-FR"/>
        </w:rPr>
      </w:pPr>
      <w:r w:rsidRPr="002D1F82">
        <w:rPr>
          <w:sz w:val="18"/>
          <w:szCs w:val="20"/>
          <w:lang w:val="fr-FR" w:eastAsia="fr-FR" w:bidi="fr-FR"/>
        </w:rPr>
        <w:t>Horodatages des actions pertinentes (par exemple, détection ou moment d’isolement des appareils).</w:t>
      </w:r>
    </w:p>
    <w:p w14:paraId="177B4CC1" w14:textId="77777777" w:rsidR="00967282" w:rsidRPr="002D1F82" w:rsidRDefault="00D34EF7">
      <w:pPr>
        <w:pStyle w:val="ListBullet2"/>
        <w:rPr>
          <w:sz w:val="18"/>
          <w:szCs w:val="20"/>
          <w:lang w:val="fr-FR"/>
        </w:rPr>
      </w:pPr>
      <w:r w:rsidRPr="002D1F82">
        <w:rPr>
          <w:sz w:val="18"/>
          <w:szCs w:val="20"/>
          <w:lang w:val="fr-FR" w:eastAsia="fr-FR" w:bidi="fr-FR"/>
        </w:rPr>
        <w:t>Impact de l’indisponibilité des actifs.</w:t>
      </w:r>
    </w:p>
    <w:p w14:paraId="703C52BD" w14:textId="77777777" w:rsidR="00967282" w:rsidRPr="002D1F82" w:rsidRDefault="00D34EF7">
      <w:pPr>
        <w:pStyle w:val="ListBullet2"/>
        <w:rPr>
          <w:sz w:val="18"/>
          <w:szCs w:val="20"/>
          <w:lang w:val="fr-FR"/>
        </w:rPr>
      </w:pPr>
      <w:r w:rsidRPr="002D1F82">
        <w:rPr>
          <w:sz w:val="18"/>
          <w:szCs w:val="20"/>
          <w:lang w:val="fr-FR" w:eastAsia="fr-FR" w:bidi="fr-FR"/>
        </w:rPr>
        <w:t>Consigner une brève déclaration des utilisateurs affectés et du propriétaire de l’appareil concernant les actions réalisées, par exemple ouverture d’une pièce jointe ou interaction avec des pages de connexion.</w:t>
      </w:r>
    </w:p>
    <w:p w14:paraId="553F1991" w14:textId="77777777" w:rsidR="00967282" w:rsidRDefault="00D34EF7">
      <w:pPr>
        <w:pStyle w:val="Heading2"/>
        <w:rPr>
          <w:lang w:val="fr-FR" w:eastAsia="fr-FR" w:bidi="fr-FR"/>
        </w:rPr>
      </w:pPr>
      <w:bookmarkStart w:id="5" w:name="_Toc236069817"/>
      <w:r>
        <w:rPr>
          <w:lang w:val="fr-FR" w:eastAsia="fr-FR" w:bidi="fr-FR"/>
        </w:rPr>
        <w:t>Remontée et notification</w:t>
      </w:r>
      <w:bookmarkEnd w:id="5"/>
    </w:p>
    <w:p w14:paraId="0B3AACB5" w14:textId="77777777" w:rsidR="00EC4D34" w:rsidRPr="00EC4D34" w:rsidRDefault="00EC4D34" w:rsidP="00EC4D34">
      <w:pPr>
        <w:rPr>
          <w:lang w:val="fr-FR" w:eastAsia="fr-FR" w:bidi="fr-FR"/>
        </w:rPr>
      </w:pPr>
    </w:p>
    <w:p w14:paraId="70C4A1B8" w14:textId="77777777" w:rsidR="00967282" w:rsidRPr="00C470B3" w:rsidRDefault="00D34EF7">
      <w:pPr>
        <w:pStyle w:val="ListBullet"/>
        <w:rPr>
          <w:sz w:val="18"/>
          <w:szCs w:val="20"/>
          <w:lang w:val="fr-FR"/>
        </w:rPr>
      </w:pPr>
      <w:r w:rsidRPr="00C470B3">
        <w:rPr>
          <w:sz w:val="18"/>
          <w:szCs w:val="20"/>
          <w:lang w:val="fr-FR" w:eastAsia="fr-FR" w:bidi="fr-FR"/>
        </w:rPr>
        <w:t>L’incident doit être remonté et notifié conformément à la section 4.3 du Plan de réponse aux incidents de cybersécurité.</w:t>
      </w:r>
    </w:p>
    <w:p w14:paraId="427D0C13" w14:textId="3C7A5E9E" w:rsidR="00967282" w:rsidRDefault="00EC4D34">
      <w:pPr>
        <w:pStyle w:val="Heading2"/>
        <w:rPr>
          <w:lang w:val="fr-FR" w:eastAsia="fr-FR" w:bidi="fr-FR"/>
        </w:rPr>
      </w:pPr>
      <w:bookmarkStart w:id="6" w:name="_Toc236069818"/>
      <w:r>
        <w:rPr>
          <w:lang w:val="fr-FR" w:eastAsia="fr-FR" w:bidi="fr-FR"/>
        </w:rPr>
        <w:t>Mesures de restriction</w:t>
      </w:r>
      <w:bookmarkEnd w:id="6"/>
    </w:p>
    <w:p w14:paraId="5A23A038" w14:textId="77777777" w:rsidR="00EC4D34" w:rsidRPr="00EC4D34" w:rsidRDefault="00EC4D34" w:rsidP="00EC4D34">
      <w:pPr>
        <w:rPr>
          <w:lang w:val="fr-FR" w:eastAsia="fr-FR" w:bidi="fr-FR"/>
        </w:rPr>
      </w:pPr>
    </w:p>
    <w:p w14:paraId="52451509" w14:textId="77777777" w:rsidR="00967282" w:rsidRPr="00EC4D34" w:rsidRDefault="00D34EF7">
      <w:pPr>
        <w:rPr>
          <w:sz w:val="18"/>
          <w:szCs w:val="18"/>
        </w:rPr>
      </w:pPr>
      <w:r w:rsidRPr="00EC4D34">
        <w:rPr>
          <w:sz w:val="18"/>
          <w:szCs w:val="20"/>
          <w:lang w:val="fr-FR" w:eastAsia="fr-FR" w:bidi="fr-FR"/>
        </w:rPr>
        <w:t xml:space="preserve">Selon le type de malware présent, certaines mesures de confinement initial peuvent être nécessaires par précaution, notamment l’isolement des appareils potentiellement affectés des réseaux de </w:t>
      </w:r>
      <w:r w:rsidRPr="00EC4D34">
        <w:rPr>
          <w:sz w:val="18"/>
          <w:szCs w:val="20"/>
          <w:highlight w:val="yellow"/>
          <w:lang w:val="fr-FR" w:eastAsia="fr-FR" w:bidi="fr-FR"/>
        </w:rPr>
        <w:t xml:space="preserve">[NOM </w:t>
      </w:r>
      <w:r w:rsidRPr="00EC4D34">
        <w:rPr>
          <w:sz w:val="18"/>
          <w:szCs w:val="18"/>
          <w:highlight w:val="yellow"/>
          <w:lang w:val="fr-FR" w:eastAsia="fr-FR" w:bidi="fr-FR"/>
        </w:rPr>
        <w:t>DE</w:t>
      </w:r>
      <w:r w:rsidRPr="00EC4D34">
        <w:rPr>
          <w:sz w:val="18"/>
          <w:szCs w:val="18"/>
          <w:highlight w:val="yellow"/>
          <w:lang w:val="fr-FR" w:eastAsia="fr-FR" w:bidi="fr-FR"/>
        </w:rPr>
        <w:t xml:space="preserve"> L’ENTREPRISE]</w:t>
      </w:r>
      <w:r w:rsidRPr="00EC4D34">
        <w:rPr>
          <w:sz w:val="18"/>
          <w:szCs w:val="18"/>
          <w:lang w:val="fr-FR" w:eastAsia="fr-FR" w:bidi="fr-FR"/>
        </w:rPr>
        <w:t xml:space="preserve"> afin d’éviter toute propagation supplémentaire, et/ou d’Internet afin de limiter tout accès ultérieur de l’attaquant ou toute activité de commande et contrôle. Les autres actions de confinement incluent :</w:t>
      </w:r>
    </w:p>
    <w:p w14:paraId="3F44D5D5" w14:textId="77777777" w:rsidR="00967282" w:rsidRPr="00EC4D34" w:rsidRDefault="00D34EF7">
      <w:pPr>
        <w:pStyle w:val="ListBullet"/>
        <w:rPr>
          <w:sz w:val="18"/>
          <w:szCs w:val="18"/>
          <w:lang w:val="fr-FR"/>
        </w:rPr>
      </w:pPr>
      <w:r w:rsidRPr="00EC4D34">
        <w:rPr>
          <w:sz w:val="18"/>
          <w:szCs w:val="18"/>
          <w:lang w:val="fr-FR" w:eastAsia="fr-FR" w:bidi="fr-FR"/>
        </w:rPr>
        <w:lastRenderedPageBreak/>
        <w:t>Mettre à jour les solutions anti-malware et pare-feu, en veillant à ce que les indicateurs de compromission identifiés pendant les phases de triage et d’analyse soient déployés sur les solutions anti-malware et pare-feu.</w:t>
      </w:r>
    </w:p>
    <w:p w14:paraId="4ECC24DE" w14:textId="77777777" w:rsidR="00967282" w:rsidRPr="00EC4D34" w:rsidRDefault="00D34EF7">
      <w:pPr>
        <w:pStyle w:val="ListBullet"/>
        <w:rPr>
          <w:sz w:val="18"/>
          <w:szCs w:val="18"/>
          <w:lang w:val="fr-FR"/>
        </w:rPr>
      </w:pPr>
      <w:r w:rsidRPr="00EC4D34">
        <w:rPr>
          <w:sz w:val="18"/>
          <w:szCs w:val="18"/>
          <w:lang w:val="fr-FR" w:eastAsia="fr-FR" w:bidi="fr-FR"/>
        </w:rPr>
        <w:t>Lancer une analyse anti-malware sur l’ensemble du parc.</w:t>
      </w:r>
    </w:p>
    <w:p w14:paraId="08AF4659" w14:textId="77777777" w:rsidR="00967282" w:rsidRPr="00EC4D34" w:rsidRDefault="00D34EF7">
      <w:pPr>
        <w:pStyle w:val="ListBullet"/>
        <w:rPr>
          <w:sz w:val="18"/>
          <w:szCs w:val="18"/>
          <w:lang w:val="fr-FR"/>
        </w:rPr>
      </w:pPr>
      <w:r w:rsidRPr="00EC4D34">
        <w:rPr>
          <w:sz w:val="18"/>
          <w:szCs w:val="18"/>
          <w:lang w:val="fr-FR" w:eastAsia="fr-FR" w:bidi="fr-FR"/>
        </w:rPr>
        <w:t>Lorsque cela est possible, un centre opérationnel de sécurité (SOC) tactique ou un dispositif de supervision renforcée doit être mis en place afin de s’assurer qu’aucune infection ou réinfection supplémentaire ne se produit.</w:t>
      </w:r>
    </w:p>
    <w:p w14:paraId="472A74CF" w14:textId="77777777" w:rsidR="00967282" w:rsidRPr="00EC4D34" w:rsidRDefault="00D34EF7">
      <w:pPr>
        <w:pStyle w:val="ListBullet"/>
        <w:rPr>
          <w:sz w:val="18"/>
          <w:szCs w:val="18"/>
          <w:lang w:val="fr-FR"/>
        </w:rPr>
      </w:pPr>
      <w:r w:rsidRPr="00EC4D34">
        <w:rPr>
          <w:sz w:val="18"/>
          <w:szCs w:val="18"/>
          <w:lang w:val="fr-FR" w:eastAsia="fr-FR" w:bidi="fr-FR"/>
        </w:rPr>
        <w:t>Lorsque des comptes utilisateurs ont été identifiés comme compromis ou « à risque », l’accès au compte doit être bloqué dans l’attente d’investigations supplémentaires.</w:t>
      </w:r>
    </w:p>
    <w:p w14:paraId="42D0170B" w14:textId="77777777" w:rsidR="00967282" w:rsidRPr="00EC4D34" w:rsidRDefault="00D34EF7">
      <w:pPr>
        <w:pStyle w:val="ListBullet"/>
        <w:rPr>
          <w:sz w:val="18"/>
          <w:szCs w:val="18"/>
          <w:lang w:val="fr-FR"/>
        </w:rPr>
      </w:pPr>
      <w:r w:rsidRPr="00EC4D34">
        <w:rPr>
          <w:sz w:val="18"/>
          <w:szCs w:val="18"/>
          <w:lang w:val="fr-FR" w:eastAsia="fr-FR" w:bidi="fr-FR"/>
        </w:rPr>
        <w:t>Lorsque des comptes sensibles ont été identifiés, une méthode moins intrusive peut être appliquée en imposant le MFA et/ou une réinitialisation du mot de passe pour le compte affecté.</w:t>
      </w:r>
    </w:p>
    <w:p w14:paraId="4410E5C6" w14:textId="77777777" w:rsidR="00967282" w:rsidRPr="00EC4D34" w:rsidRDefault="00D34EF7">
      <w:pPr>
        <w:pStyle w:val="ListBullet"/>
        <w:rPr>
          <w:sz w:val="18"/>
          <w:szCs w:val="18"/>
          <w:lang w:val="fr-FR"/>
        </w:rPr>
      </w:pPr>
      <w:r w:rsidRPr="00EC4D34">
        <w:rPr>
          <w:sz w:val="18"/>
          <w:szCs w:val="18"/>
          <w:lang w:val="fr-FR" w:eastAsia="fr-FR" w:bidi="fr-FR"/>
        </w:rPr>
        <w:t>La prudence est requise avec cette dernière approche, car l’adversaire peut avoir accès au compte et réaliser lui-même l’action de réinitialisation. Les comptes traités selon cette méthode moins intrusive doivent faire l’objet d’une supervision des accès et de l’activité.</w:t>
      </w:r>
    </w:p>
    <w:p w14:paraId="574BC288" w14:textId="77777777" w:rsidR="00967282" w:rsidRPr="00EC4D34" w:rsidRDefault="00D34EF7">
      <w:pPr>
        <w:pStyle w:val="ListBullet"/>
        <w:rPr>
          <w:sz w:val="18"/>
          <w:szCs w:val="18"/>
          <w:lang w:val="fr-FR"/>
        </w:rPr>
      </w:pPr>
      <w:r w:rsidRPr="00EC4D34">
        <w:rPr>
          <w:sz w:val="18"/>
          <w:szCs w:val="18"/>
          <w:lang w:val="fr-FR" w:eastAsia="fr-FR" w:bidi="fr-FR"/>
        </w:rPr>
        <w:t>Lorsqu’un compte utilisateur a été bloqué, toutes les sessions actives de l’utilisateur doivent être révoquées afin d’empêcher tout accès supplémentaire au compte.</w:t>
      </w:r>
    </w:p>
    <w:p w14:paraId="1072C0F0" w14:textId="77777777" w:rsidR="00967282" w:rsidRPr="00EC4D34" w:rsidRDefault="00D34EF7">
      <w:pPr>
        <w:pStyle w:val="ListBullet"/>
        <w:rPr>
          <w:sz w:val="18"/>
          <w:szCs w:val="18"/>
          <w:lang w:val="fr-FR"/>
        </w:rPr>
      </w:pPr>
      <w:r w:rsidRPr="00EC4D34">
        <w:rPr>
          <w:sz w:val="18"/>
          <w:szCs w:val="18"/>
          <w:lang w:val="fr-FR" w:eastAsia="fr-FR" w:bidi="fr-FR"/>
        </w:rPr>
        <w:t>Les protocoles de partage réseau tels que SMB doivent être désactivés afin d’empêcher les adversaires de se déplacer latéralement dans l’environnement réseau.</w:t>
      </w:r>
    </w:p>
    <w:p w14:paraId="1D606F63" w14:textId="77777777" w:rsidR="00967282" w:rsidRPr="00EC4D34" w:rsidRDefault="00D34EF7">
      <w:pPr>
        <w:pStyle w:val="ListBullet"/>
        <w:rPr>
          <w:sz w:val="18"/>
          <w:szCs w:val="18"/>
          <w:lang w:val="fr-FR"/>
        </w:rPr>
      </w:pPr>
      <w:r w:rsidRPr="00EC4D34">
        <w:rPr>
          <w:sz w:val="18"/>
          <w:szCs w:val="18"/>
          <w:lang w:val="fr-FR" w:eastAsia="fr-FR" w:bidi="fr-FR"/>
        </w:rPr>
        <w:t>Les systèmes d’accès à distance, tels que le protocole RDP, constituent un vecteur d’attaque courant pour les adversaires, tout comme les portails d’administration web. La désactivation ou la mise en liste d’autorisation de l’accès à ces portails peut empêcher les accès non autorisés et contribuer au confinement d’un incident.</w:t>
      </w:r>
    </w:p>
    <w:p w14:paraId="179DE549" w14:textId="77777777" w:rsidR="00967282" w:rsidRDefault="00D34EF7">
      <w:pPr>
        <w:pStyle w:val="Heading2"/>
        <w:rPr>
          <w:lang w:val="fr-FR" w:eastAsia="fr-FR" w:bidi="fr-FR"/>
        </w:rPr>
      </w:pPr>
      <w:bookmarkStart w:id="7" w:name="_Toc236069819"/>
      <w:r>
        <w:rPr>
          <w:lang w:val="fr-FR" w:eastAsia="fr-FR" w:bidi="fr-FR"/>
        </w:rPr>
        <w:t>Collecte des preuves</w:t>
      </w:r>
      <w:bookmarkEnd w:id="7"/>
    </w:p>
    <w:p w14:paraId="1A53456F" w14:textId="77777777" w:rsidR="00345CAA" w:rsidRPr="00345CAA" w:rsidRDefault="00345CAA" w:rsidP="00345CAA">
      <w:pPr>
        <w:rPr>
          <w:lang w:val="fr-FR" w:eastAsia="fr-FR" w:bidi="fr-FR"/>
        </w:rPr>
      </w:pPr>
    </w:p>
    <w:p w14:paraId="1F71DD77" w14:textId="77777777" w:rsidR="00967282" w:rsidRPr="00345CAA" w:rsidRDefault="00D34EF7">
      <w:pPr>
        <w:rPr>
          <w:sz w:val="18"/>
          <w:szCs w:val="20"/>
          <w:lang w:val="fr-FR"/>
        </w:rPr>
      </w:pPr>
      <w:r w:rsidRPr="00345CAA">
        <w:rPr>
          <w:sz w:val="18"/>
          <w:szCs w:val="20"/>
          <w:lang w:val="fr-FR" w:eastAsia="fr-FR" w:bidi="fr-FR"/>
        </w:rPr>
        <w:t xml:space="preserve">La capture sécurisée d’une copie de tout malware peut être appropriée lorsque le malware n’est pas identifié et/ou qu’il a potentiellement facilité une activité inconnue sur les appareils de </w:t>
      </w:r>
      <w:r w:rsidRPr="00345CAA">
        <w:rPr>
          <w:sz w:val="18"/>
          <w:szCs w:val="20"/>
          <w:highlight w:val="yellow"/>
          <w:lang w:val="fr-FR" w:eastAsia="fr-FR" w:bidi="fr-FR"/>
        </w:rPr>
        <w:t>[NOM DE L’ENTREPRISE],</w:t>
      </w:r>
      <w:r w:rsidRPr="00345CAA">
        <w:rPr>
          <w:sz w:val="18"/>
          <w:szCs w:val="20"/>
          <w:lang w:val="fr-FR" w:eastAsia="fr-FR" w:bidi="fr-FR"/>
        </w:rPr>
        <w:t xml:space="preserve"> si une analyse peut être requise. Cette capture doit être réalisée dès que possible afin de permettre la suppression et l’éradication.</w:t>
      </w:r>
    </w:p>
    <w:p w14:paraId="6E49DDB1" w14:textId="77777777" w:rsidR="00967282" w:rsidRPr="00345CAA" w:rsidRDefault="00D34EF7">
      <w:pPr>
        <w:rPr>
          <w:sz w:val="18"/>
          <w:szCs w:val="20"/>
          <w:lang w:val="fr-FR"/>
        </w:rPr>
      </w:pPr>
      <w:r w:rsidRPr="00345CAA">
        <w:rPr>
          <w:sz w:val="18"/>
          <w:szCs w:val="20"/>
          <w:lang w:val="fr-FR" w:eastAsia="fr-FR" w:bidi="fr-FR"/>
        </w:rPr>
        <w:t>Tout malware doit être traité avec prudence, récupéré et stocké au moyen de méthodes sécurisées appropriées par du personnel ou des prestataires tiers disposant de l’expertise nécessaire.</w:t>
      </w:r>
    </w:p>
    <w:p w14:paraId="22CAC9BC" w14:textId="77777777" w:rsidR="00967282" w:rsidRDefault="00D34EF7">
      <w:pPr>
        <w:pStyle w:val="Heading2"/>
      </w:pPr>
      <w:bookmarkStart w:id="8" w:name="_Toc236069820"/>
      <w:r>
        <w:rPr>
          <w:lang w:val="fr-FR" w:eastAsia="fr-FR" w:bidi="fr-FR"/>
        </w:rPr>
        <w:t>Analyse</w:t>
      </w:r>
      <w:bookmarkEnd w:id="8"/>
    </w:p>
    <w:p w14:paraId="58AA03A4" w14:textId="77777777" w:rsidR="00967282" w:rsidRPr="00406665" w:rsidRDefault="00D34EF7">
      <w:pPr>
        <w:pStyle w:val="ListBullet"/>
        <w:rPr>
          <w:sz w:val="18"/>
          <w:szCs w:val="20"/>
          <w:lang w:val="fr-FR"/>
        </w:rPr>
      </w:pPr>
      <w:r w:rsidRPr="00406665">
        <w:rPr>
          <w:sz w:val="18"/>
          <w:szCs w:val="20"/>
          <w:lang w:val="fr-FR" w:eastAsia="fr-FR" w:bidi="fr-FR"/>
        </w:rPr>
        <w:t>L’analyse initiale d’un malware potentiel est généralement réalisée dès sa détection, à l’aide d’outils de sécurité standard.</w:t>
      </w:r>
    </w:p>
    <w:p w14:paraId="0D5A9C53" w14:textId="77777777" w:rsidR="00967282" w:rsidRPr="00406665" w:rsidRDefault="00D34EF7">
      <w:pPr>
        <w:pStyle w:val="ListBullet"/>
        <w:rPr>
          <w:sz w:val="18"/>
          <w:szCs w:val="20"/>
          <w:lang w:val="fr-FR"/>
        </w:rPr>
      </w:pPr>
      <w:r w:rsidRPr="00406665">
        <w:rPr>
          <w:sz w:val="18"/>
          <w:szCs w:val="20"/>
          <w:lang w:val="fr-FR" w:eastAsia="fr-FR" w:bidi="fr-FR"/>
        </w:rPr>
        <w:t xml:space="preserve">Les </w:t>
      </w:r>
      <w:proofErr w:type="spellStart"/>
      <w:r w:rsidRPr="00406665">
        <w:rPr>
          <w:sz w:val="18"/>
          <w:szCs w:val="20"/>
          <w:lang w:val="fr-FR" w:eastAsia="fr-FR" w:bidi="fr-FR"/>
        </w:rPr>
        <w:t>hashs</w:t>
      </w:r>
      <w:proofErr w:type="spellEnd"/>
      <w:r w:rsidRPr="00406665">
        <w:rPr>
          <w:sz w:val="18"/>
          <w:szCs w:val="20"/>
          <w:lang w:val="fr-FR" w:eastAsia="fr-FR" w:bidi="fr-FR"/>
        </w:rPr>
        <w:t xml:space="preserve"> ou signatures des malwares identifiés doivent être consignés afin de soutenir les activités ultérieures de threat hunting et de supervision, conformément aux actions de confinement initial.</w:t>
      </w:r>
    </w:p>
    <w:p w14:paraId="682BC549" w14:textId="77777777" w:rsidR="00967282" w:rsidRPr="00406665" w:rsidRDefault="00D34EF7">
      <w:pPr>
        <w:pStyle w:val="ListBullet"/>
        <w:rPr>
          <w:sz w:val="18"/>
          <w:szCs w:val="20"/>
          <w:lang w:val="fr-FR"/>
        </w:rPr>
      </w:pPr>
      <w:r w:rsidRPr="00406665">
        <w:rPr>
          <w:sz w:val="18"/>
          <w:szCs w:val="20"/>
          <w:lang w:val="fr-FR" w:eastAsia="fr-FR" w:bidi="fr-FR"/>
        </w:rPr>
        <w:t>Si une analyse plus approfondie du malware est nécessaire, elle peut être réalisée par des experts appropriés, par exemple un spécialiste externe de réponse cyber.</w:t>
      </w:r>
    </w:p>
    <w:p w14:paraId="723C7701" w14:textId="77777777" w:rsidR="00967282" w:rsidRPr="00406665" w:rsidRDefault="00D34EF7">
      <w:pPr>
        <w:pStyle w:val="ListBullet"/>
        <w:rPr>
          <w:sz w:val="18"/>
          <w:szCs w:val="20"/>
          <w:lang w:val="fr-FR"/>
        </w:rPr>
      </w:pPr>
      <w:r w:rsidRPr="00406665">
        <w:rPr>
          <w:sz w:val="18"/>
          <w:szCs w:val="20"/>
          <w:lang w:val="fr-FR" w:eastAsia="fr-FR" w:bidi="fr-FR"/>
        </w:rPr>
        <w:t xml:space="preserve">Lorsqu’il est possible que le malware ait été déployé sur plusieurs appareils, qu’il fasse partie d’un incident plus large et/ou qu’il se soit propagé dans le réseau de </w:t>
      </w:r>
      <w:r w:rsidRPr="00406665">
        <w:rPr>
          <w:sz w:val="18"/>
          <w:szCs w:val="20"/>
          <w:highlight w:val="yellow"/>
          <w:lang w:val="fr-FR" w:eastAsia="fr-FR" w:bidi="fr-FR"/>
        </w:rPr>
        <w:t>[NOM DE L’ENTREPRISE],</w:t>
      </w:r>
      <w:r w:rsidRPr="00406665">
        <w:rPr>
          <w:sz w:val="18"/>
          <w:szCs w:val="20"/>
          <w:lang w:val="fr-FR" w:eastAsia="fr-FR" w:bidi="fr-FR"/>
        </w:rPr>
        <w:t xml:space="preserve"> des investigations et activités de threat hunting appropriées doivent être menées afin de s’assurer que l’incident est entièrement contenu.</w:t>
      </w:r>
    </w:p>
    <w:p w14:paraId="14AE5A60" w14:textId="77777777" w:rsidR="00967282" w:rsidRPr="00406665" w:rsidRDefault="00D34EF7">
      <w:pPr>
        <w:pStyle w:val="ListBullet"/>
        <w:rPr>
          <w:sz w:val="18"/>
          <w:szCs w:val="20"/>
          <w:lang w:val="fr-FR"/>
        </w:rPr>
      </w:pPr>
      <w:r w:rsidRPr="00406665">
        <w:rPr>
          <w:sz w:val="18"/>
          <w:szCs w:val="20"/>
          <w:lang w:val="fr-FR" w:eastAsia="fr-FR" w:bidi="fr-FR"/>
        </w:rPr>
        <w:t xml:space="preserve">Cette investigation doit inclure l’identification de la méthode ou voie d’origine par laquelle le malware a été déployé sur les appareils de </w:t>
      </w:r>
      <w:r w:rsidRPr="00406665">
        <w:rPr>
          <w:sz w:val="18"/>
          <w:szCs w:val="20"/>
          <w:highlight w:val="yellow"/>
          <w:lang w:val="fr-FR" w:eastAsia="fr-FR" w:bidi="fr-FR"/>
        </w:rPr>
        <w:t>[NOM DE L’ENTREPRISE].</w:t>
      </w:r>
      <w:r w:rsidRPr="00406665">
        <w:rPr>
          <w:sz w:val="18"/>
          <w:szCs w:val="20"/>
          <w:lang w:val="fr-FR" w:eastAsia="fr-FR" w:bidi="fr-FR"/>
        </w:rPr>
        <w:t xml:space="preserve"> Même un déploiement mineur de malware peut révéler une vulnérabilité dans les contrôles de sécurité périmétrique ; l’absence d’identification de la cause racine de l’incident peut entraîner des attaques ultérieures plus graves.</w:t>
      </w:r>
    </w:p>
    <w:p w14:paraId="7FCDD5D6" w14:textId="77777777" w:rsidR="00967282" w:rsidRPr="0019251F" w:rsidRDefault="00D34EF7">
      <w:pPr>
        <w:pStyle w:val="Heading2"/>
        <w:rPr>
          <w:lang w:val="fr-FR"/>
        </w:rPr>
      </w:pPr>
      <w:bookmarkStart w:id="9" w:name="_Toc236069821"/>
      <w:r>
        <w:rPr>
          <w:lang w:val="fr-FR" w:eastAsia="fr-FR" w:bidi="fr-FR"/>
        </w:rPr>
        <w:t>Éradication</w:t>
      </w:r>
      <w:bookmarkEnd w:id="9"/>
    </w:p>
    <w:p w14:paraId="16915F17" w14:textId="77777777" w:rsidR="00967282" w:rsidRPr="004F57BF" w:rsidRDefault="00D34EF7">
      <w:pPr>
        <w:rPr>
          <w:sz w:val="18"/>
          <w:szCs w:val="20"/>
          <w:lang w:val="fr-FR"/>
        </w:rPr>
      </w:pPr>
      <w:r w:rsidRPr="004F57BF">
        <w:rPr>
          <w:sz w:val="18"/>
          <w:szCs w:val="20"/>
          <w:lang w:val="fr-FR" w:eastAsia="fr-FR" w:bidi="fr-FR"/>
        </w:rPr>
        <w:t>L’éradication d’un malware peut souvent être réalisée à l’aide d’outils de sécurité standard. Toutefois, les malwares modernes sont souvent persistants sur les appareils et, dans des limites proportionnées, des experts appropriés doivent conseiller sur l’éradication complète. Une supervision doit être réalisée afin de s’assurer que le malware ne persiste pas, en particulier après le redémarrage des appareils.</w:t>
      </w:r>
    </w:p>
    <w:p w14:paraId="61F9C201" w14:textId="77777777" w:rsidR="00967282" w:rsidRPr="004F57BF" w:rsidRDefault="00D34EF7">
      <w:pPr>
        <w:rPr>
          <w:sz w:val="18"/>
          <w:szCs w:val="20"/>
          <w:lang w:val="fr-FR"/>
        </w:rPr>
      </w:pPr>
      <w:r w:rsidRPr="004F57BF">
        <w:rPr>
          <w:sz w:val="18"/>
          <w:szCs w:val="20"/>
          <w:lang w:val="fr-FR" w:eastAsia="fr-FR" w:bidi="fr-FR"/>
        </w:rPr>
        <w:t>Lorsque l’éradication ne peut pas être garantie autrement, les appareils doivent généralement être reconstruits à partir d’une sauvegarde ou image saine connue, sauf si d’autres facteurs l’empêchent.</w:t>
      </w:r>
    </w:p>
    <w:p w14:paraId="45949999" w14:textId="77777777" w:rsidR="00967282" w:rsidRPr="0019251F" w:rsidRDefault="00D34EF7">
      <w:pPr>
        <w:pStyle w:val="Heading2"/>
        <w:rPr>
          <w:lang w:val="fr-FR"/>
        </w:rPr>
      </w:pPr>
      <w:bookmarkStart w:id="10" w:name="_Toc236069822"/>
      <w:r>
        <w:rPr>
          <w:lang w:val="fr-FR" w:eastAsia="fr-FR" w:bidi="fr-FR"/>
        </w:rPr>
        <w:lastRenderedPageBreak/>
        <w:t>Rétablissement</w:t>
      </w:r>
      <w:bookmarkEnd w:id="10"/>
    </w:p>
    <w:p w14:paraId="70D5585F" w14:textId="7EE245F5" w:rsidR="00967282" w:rsidRPr="004F57BF" w:rsidRDefault="00D34EF7">
      <w:pPr>
        <w:rPr>
          <w:sz w:val="18"/>
          <w:szCs w:val="20"/>
          <w:lang w:val="fr-FR"/>
        </w:rPr>
      </w:pPr>
      <w:r w:rsidRPr="004F57BF">
        <w:rPr>
          <w:sz w:val="18"/>
          <w:szCs w:val="20"/>
          <w:lang w:val="fr-FR" w:eastAsia="fr-FR" w:bidi="fr-FR"/>
        </w:rPr>
        <w:t xml:space="preserve">Une fois l’incident entièrement contenu, les comptes d’accès réinitialisés, les appareils affectés réimagés et/ou remplacés, et les </w:t>
      </w:r>
      <w:r w:rsidR="004F57BF" w:rsidRPr="004F57BF">
        <w:rPr>
          <w:sz w:val="18"/>
          <w:szCs w:val="20"/>
          <w:lang w:val="fr-FR" w:eastAsia="fr-FR" w:bidi="fr-FR"/>
        </w:rPr>
        <w:t>courriels</w:t>
      </w:r>
      <w:r w:rsidRPr="004F57BF">
        <w:rPr>
          <w:sz w:val="18"/>
          <w:szCs w:val="20"/>
          <w:lang w:val="fr-FR" w:eastAsia="fr-FR" w:bidi="fr-FR"/>
        </w:rPr>
        <w:t xml:space="preserve"> malveillants supprimés des boîtes de réception, l’incident peut être considéré comme terminé et le processus de rétablissement peut commencer.</w:t>
      </w:r>
    </w:p>
    <w:p w14:paraId="43AC33E4" w14:textId="77777777" w:rsidR="00967282" w:rsidRPr="004F57BF" w:rsidRDefault="00D34EF7">
      <w:pPr>
        <w:rPr>
          <w:sz w:val="18"/>
          <w:szCs w:val="20"/>
          <w:lang w:val="fr-FR"/>
        </w:rPr>
      </w:pPr>
      <w:r w:rsidRPr="004F57BF">
        <w:rPr>
          <w:sz w:val="18"/>
          <w:szCs w:val="20"/>
          <w:lang w:val="fr-FR" w:eastAsia="fr-FR" w:bidi="fr-FR"/>
        </w:rPr>
        <w:t>Les appareils infectés lors de l’attaque par malware doivent être réintroduits dans l’environnement de production avec prudence. La bonne pratique consiste à réimager l’appareil, le restaurer depuis une sauvegarde de confiance ou le remplacer complètement après une attaque. Les correctifs nécessaires ou les activités de remédiation des vulnérabilités doivent être réalisés avant la réintégration.</w:t>
      </w:r>
    </w:p>
    <w:p w14:paraId="404F8393" w14:textId="77777777" w:rsidR="00967282" w:rsidRPr="004F57BF" w:rsidRDefault="00D34EF7">
      <w:pPr>
        <w:rPr>
          <w:sz w:val="18"/>
          <w:szCs w:val="20"/>
          <w:lang w:val="fr-FR"/>
        </w:rPr>
      </w:pPr>
      <w:r w:rsidRPr="004F57BF">
        <w:rPr>
          <w:sz w:val="18"/>
          <w:szCs w:val="20"/>
          <w:lang w:val="fr-FR" w:eastAsia="fr-FR" w:bidi="fr-FR"/>
        </w:rPr>
        <w:t>L’accès utilisateur aux comptes affectés par l’incident peut être rétabli en s’assurant que le mot de passe a été modifié et que des contrôles de sécurité supplémentaires, tels que le MFA, ont été envisagés.</w:t>
      </w:r>
    </w:p>
    <w:p w14:paraId="45777EC3" w14:textId="77777777" w:rsidR="00967282" w:rsidRPr="0019251F" w:rsidRDefault="00D34EF7">
      <w:pPr>
        <w:pStyle w:val="Heading2"/>
        <w:rPr>
          <w:lang w:val="fr-FR"/>
        </w:rPr>
      </w:pPr>
      <w:bookmarkStart w:id="11" w:name="_Toc236069823"/>
      <w:r>
        <w:rPr>
          <w:lang w:val="fr-FR" w:eastAsia="fr-FR" w:bidi="fr-FR"/>
        </w:rPr>
        <w:t>Revue post-incident</w:t>
      </w:r>
      <w:bookmarkEnd w:id="11"/>
    </w:p>
    <w:p w14:paraId="1446C8F2" w14:textId="77777777" w:rsidR="00967282" w:rsidRPr="004F57BF" w:rsidRDefault="00D34EF7">
      <w:pPr>
        <w:rPr>
          <w:sz w:val="18"/>
          <w:szCs w:val="20"/>
          <w:lang w:val="fr-FR"/>
        </w:rPr>
      </w:pPr>
      <w:r w:rsidRPr="004F57BF">
        <w:rPr>
          <w:sz w:val="18"/>
          <w:szCs w:val="20"/>
          <w:lang w:val="fr-FR" w:eastAsia="fr-FR" w:bidi="fr-FR"/>
        </w:rPr>
        <w:t>Pour les incidents classés P1 à P3, une revue post-incident doit être réalisée conformément à la section 4.7 du Plan de réponse aux incidents de cybersécurité.</w:t>
      </w:r>
    </w:p>
    <w:p w14:paraId="7A97B80A" w14:textId="77777777" w:rsidR="00967282" w:rsidRPr="0019251F" w:rsidRDefault="00D34EF7">
      <w:pPr>
        <w:rPr>
          <w:lang w:val="fr-FR"/>
        </w:rPr>
      </w:pPr>
      <w:r w:rsidRPr="0019251F">
        <w:rPr>
          <w:lang w:val="fr-FR"/>
        </w:rPr>
        <w:br w:type="page"/>
      </w:r>
    </w:p>
    <w:p w14:paraId="297C4674" w14:textId="38A40CB7" w:rsidR="00967282" w:rsidRPr="0019251F" w:rsidRDefault="00D34EF7" w:rsidP="00912504">
      <w:pPr>
        <w:pStyle w:val="Heading1"/>
        <w:numPr>
          <w:ilvl w:val="0"/>
          <w:numId w:val="10"/>
        </w:numPr>
        <w:rPr>
          <w:lang w:val="fr-FR"/>
        </w:rPr>
      </w:pPr>
      <w:bookmarkStart w:id="12" w:name="_Toc236069824"/>
      <w:r>
        <w:rPr>
          <w:lang w:val="fr-FR" w:eastAsia="fr-FR" w:bidi="fr-FR"/>
        </w:rPr>
        <w:lastRenderedPageBreak/>
        <w:t>Annexe A : schéma du processus de réponse aux malwares</w:t>
      </w:r>
      <w:bookmarkEnd w:id="12"/>
    </w:p>
    <w:p w14:paraId="1FA79C7F" w14:textId="77777777" w:rsidR="00967282" w:rsidRDefault="00D34EF7">
      <w:pPr>
        <w:rPr>
          <w:lang w:val="fr-FR" w:eastAsia="fr-FR" w:bidi="fr-FR"/>
        </w:rPr>
      </w:pPr>
      <w:r>
        <w:rPr>
          <w:lang w:val="fr-FR" w:eastAsia="fr-FR" w:bidi="fr-FR"/>
        </w:rPr>
        <w:t xml:space="preserve">Le schéma de réponse aux malwares peut être ajouté ou adapté ici selon le processus opérationnel interne de </w:t>
      </w:r>
      <w:r w:rsidRPr="00912504">
        <w:rPr>
          <w:highlight w:val="yellow"/>
          <w:lang w:val="fr-FR" w:eastAsia="fr-FR" w:bidi="fr-FR"/>
        </w:rPr>
        <w:t>[NOM DE L’ENTREPRISE].</w:t>
      </w:r>
    </w:p>
    <w:p w14:paraId="41D8031A" w14:textId="16FBC9D9" w:rsidR="009E1CDB" w:rsidRPr="0019251F" w:rsidRDefault="009E1CDB">
      <w:pPr>
        <w:rPr>
          <w:lang w:val="fr-FR"/>
        </w:rPr>
      </w:pPr>
      <w:r w:rsidRPr="008E64AF">
        <w:rPr>
          <w:noProof/>
        </w:rPr>
        <w:drawing>
          <wp:anchor distT="0" distB="0" distL="114300" distR="114300" simplePos="0" relativeHeight="251659264" behindDoc="1" locked="0" layoutInCell="1" allowOverlap="1" wp14:anchorId="547B55A9" wp14:editId="208ABB12">
            <wp:simplePos x="0" y="0"/>
            <wp:positionH relativeFrom="column">
              <wp:posOffset>1941830</wp:posOffset>
            </wp:positionH>
            <wp:positionV relativeFrom="paragraph">
              <wp:posOffset>274320</wp:posOffset>
            </wp:positionV>
            <wp:extent cx="3051810" cy="7232015"/>
            <wp:effectExtent l="0" t="0" r="0" b="6985"/>
            <wp:wrapTight wrapText="bothSides">
              <wp:wrapPolygon edited="0">
                <wp:start x="0" y="0"/>
                <wp:lineTo x="0" y="1707"/>
                <wp:lineTo x="539" y="1821"/>
                <wp:lineTo x="3775" y="1821"/>
                <wp:lineTo x="1079" y="2276"/>
                <wp:lineTo x="0" y="2503"/>
                <wp:lineTo x="0" y="4153"/>
                <wp:lineTo x="1753" y="4552"/>
                <wp:lineTo x="3775" y="4552"/>
                <wp:lineTo x="1348" y="5462"/>
                <wp:lineTo x="0" y="5747"/>
                <wp:lineTo x="0" y="5860"/>
                <wp:lineTo x="2427" y="6372"/>
                <wp:lineTo x="3506" y="7283"/>
                <wp:lineTo x="270" y="7397"/>
                <wp:lineTo x="0" y="7454"/>
                <wp:lineTo x="0" y="9104"/>
                <wp:lineTo x="3101" y="10014"/>
                <wp:lineTo x="135" y="10640"/>
                <wp:lineTo x="0" y="10810"/>
                <wp:lineTo x="539" y="10924"/>
                <wp:lineTo x="3236" y="11835"/>
                <wp:lineTo x="674" y="12233"/>
                <wp:lineTo x="0" y="12404"/>
                <wp:lineTo x="0" y="14110"/>
                <wp:lineTo x="1888" y="14566"/>
                <wp:lineTo x="3775" y="14566"/>
                <wp:lineTo x="944" y="15476"/>
                <wp:lineTo x="0" y="15704"/>
                <wp:lineTo x="135" y="15817"/>
                <wp:lineTo x="2831" y="16386"/>
                <wp:lineTo x="3640" y="17297"/>
                <wp:lineTo x="270" y="17297"/>
                <wp:lineTo x="0" y="17354"/>
                <wp:lineTo x="0" y="19060"/>
                <wp:lineTo x="270" y="19117"/>
                <wp:lineTo x="3775" y="19117"/>
                <wp:lineTo x="1348" y="19573"/>
                <wp:lineTo x="0" y="19857"/>
                <wp:lineTo x="0" y="21564"/>
                <wp:lineTo x="19146" y="21564"/>
                <wp:lineTo x="19416" y="19857"/>
                <wp:lineTo x="15775" y="19629"/>
                <wp:lineTo x="4449" y="19117"/>
                <wp:lineTo x="14562" y="19117"/>
                <wp:lineTo x="20764" y="18776"/>
                <wp:lineTo x="20629" y="10014"/>
                <wp:lineTo x="21169" y="9104"/>
                <wp:lineTo x="20629" y="8193"/>
                <wp:lineTo x="20899" y="3300"/>
                <wp:lineTo x="8629" y="2617"/>
                <wp:lineTo x="7820" y="2390"/>
                <wp:lineTo x="4449" y="1821"/>
                <wp:lineTo x="7820" y="1821"/>
                <wp:lineTo x="8629" y="1650"/>
                <wp:lineTo x="8360" y="0"/>
                <wp:lineTo x="0" y="0"/>
              </wp:wrapPolygon>
            </wp:wrapTight>
            <wp:docPr id="18269261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51810" cy="7232015"/>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9E1CDB" w:rsidRPr="0019251F" w:rsidSect="00034616">
      <w:footerReference w:type="default" r:id="rId9"/>
      <w:pgSz w:w="12240" w:h="15840"/>
      <w:pgMar w:top="1008" w:right="1224" w:bottom="1008" w:left="12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2C928C" w14:textId="77777777" w:rsidR="00D34EF7" w:rsidRDefault="00D34EF7">
      <w:pPr>
        <w:spacing w:after="0" w:line="240" w:lineRule="auto"/>
      </w:pPr>
      <w:r>
        <w:separator/>
      </w:r>
    </w:p>
  </w:endnote>
  <w:endnote w:type="continuationSeparator" w:id="0">
    <w:p w14:paraId="78D1E946" w14:textId="77777777" w:rsidR="00D34EF7" w:rsidRDefault="00D34E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980AA" w14:textId="77777777" w:rsidR="00967282" w:rsidRPr="0019251F" w:rsidRDefault="00D34EF7">
    <w:pPr>
      <w:pStyle w:val="Footer"/>
      <w:rPr>
        <w:lang w:val="fr-FR"/>
      </w:rPr>
    </w:pPr>
    <w:r>
      <w:rPr>
        <w:i/>
        <w:color w:val="595959"/>
        <w:sz w:val="14"/>
        <w:lang w:val="fr-FR" w:eastAsia="fr-FR" w:bidi="fr-FR"/>
      </w:rPr>
      <w:t>Les modèles de gouvernance cyber sont fournis à titre d’exemple uniquement. Ils n’ont pas été préparés avec une connaissance détaillée de vos systèmes ou des risques pesant sur votre activité et ne couvrent pas toutes les situations ou actions possibles nécessaires pour répondre à un incident de cybersécurité. Il vous appartient d’exercer votre propre jugement indépendant afin d’évaluer les plans et processus de réponse aux incidents appropriés à votre activité. Les modèles de gouvernance cyber ne remplacen</w:t>
    </w:r>
    <w:r>
      <w:rPr>
        <w:i/>
        <w:color w:val="595959"/>
        <w:sz w:val="14"/>
        <w:lang w:val="fr-FR" w:eastAsia="fr-FR" w:bidi="fr-FR"/>
      </w:rPr>
      <w:t>t pas les conseils d’un conseiller juridique ou de professionnels de la cybersécurité dans la préparation ou la réponse à un incident de cybersécurité.</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CAEA9E" w14:textId="77777777" w:rsidR="00D34EF7" w:rsidRDefault="00D34EF7">
      <w:pPr>
        <w:spacing w:after="0" w:line="240" w:lineRule="auto"/>
      </w:pPr>
      <w:r>
        <w:separator/>
      </w:r>
    </w:p>
  </w:footnote>
  <w:footnote w:type="continuationSeparator" w:id="0">
    <w:p w14:paraId="04DAF8F8" w14:textId="77777777" w:rsidR="00D34EF7" w:rsidRDefault="00D34EF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390533EE"/>
    <w:multiLevelType w:val="hybridMultilevel"/>
    <w:tmpl w:val="B040179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533346768">
    <w:abstractNumId w:val="8"/>
  </w:num>
  <w:num w:numId="2" w16cid:durableId="53165454">
    <w:abstractNumId w:val="6"/>
  </w:num>
  <w:num w:numId="3" w16cid:durableId="1270822377">
    <w:abstractNumId w:val="5"/>
  </w:num>
  <w:num w:numId="4" w16cid:durableId="620571065">
    <w:abstractNumId w:val="4"/>
  </w:num>
  <w:num w:numId="5" w16cid:durableId="1419446972">
    <w:abstractNumId w:val="7"/>
  </w:num>
  <w:num w:numId="6" w16cid:durableId="633831063">
    <w:abstractNumId w:val="3"/>
  </w:num>
  <w:num w:numId="7" w16cid:durableId="164126111">
    <w:abstractNumId w:val="2"/>
  </w:num>
  <w:num w:numId="8" w16cid:durableId="425198789">
    <w:abstractNumId w:val="1"/>
  </w:num>
  <w:num w:numId="9" w16cid:durableId="792407491">
    <w:abstractNumId w:val="0"/>
  </w:num>
  <w:num w:numId="10" w16cid:durableId="165224509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817C6"/>
    <w:rsid w:val="0015074B"/>
    <w:rsid w:val="0019251F"/>
    <w:rsid w:val="00204EBD"/>
    <w:rsid w:val="0029639D"/>
    <w:rsid w:val="002D1F82"/>
    <w:rsid w:val="00326F90"/>
    <w:rsid w:val="00345CAA"/>
    <w:rsid w:val="00406665"/>
    <w:rsid w:val="004F57BF"/>
    <w:rsid w:val="00533DA0"/>
    <w:rsid w:val="005C3483"/>
    <w:rsid w:val="00912504"/>
    <w:rsid w:val="00967282"/>
    <w:rsid w:val="009B059F"/>
    <w:rsid w:val="009E1CDB"/>
    <w:rsid w:val="00AA1D8D"/>
    <w:rsid w:val="00B47730"/>
    <w:rsid w:val="00C470B3"/>
    <w:rsid w:val="00CB0664"/>
    <w:rsid w:val="00D34EF7"/>
    <w:rsid w:val="00E360EC"/>
    <w:rsid w:val="00E40D42"/>
    <w:rsid w:val="00EC4D34"/>
    <w:rsid w:val="00FC0CA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DCC028EA-65C7-4916-9376-4A1624057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D403D"/>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3D403D"/>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OC1">
    <w:name w:val="toc 1"/>
    <w:basedOn w:val="Normal"/>
    <w:next w:val="Normal"/>
    <w:autoRedefine/>
    <w:uiPriority w:val="39"/>
    <w:unhideWhenUsed/>
    <w:rsid w:val="009E1CDB"/>
    <w:pPr>
      <w:spacing w:after="100"/>
    </w:pPr>
  </w:style>
  <w:style w:type="paragraph" w:styleId="TOC2">
    <w:name w:val="toc 2"/>
    <w:basedOn w:val="Normal"/>
    <w:next w:val="Normal"/>
    <w:autoRedefine/>
    <w:uiPriority w:val="39"/>
    <w:unhideWhenUsed/>
    <w:rsid w:val="009E1CDB"/>
    <w:pPr>
      <w:spacing w:after="100"/>
      <w:ind w:left="200"/>
    </w:pPr>
  </w:style>
  <w:style w:type="character" w:styleId="Hyperlink">
    <w:name w:val="Hyperlink"/>
    <w:basedOn w:val="DefaultParagraphFont"/>
    <w:uiPriority w:val="99"/>
    <w:unhideWhenUsed/>
    <w:rsid w:val="009E1CD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6A45FD70882D44183F5D9C2929C760F" ma:contentTypeVersion="13" ma:contentTypeDescription="Crée un document." ma:contentTypeScope="" ma:versionID="a2b1fe18f0a19e35aa0ba5822bf5785c">
  <xsd:schema xmlns:xsd="http://www.w3.org/2001/XMLSchema" xmlns:xs="http://www.w3.org/2001/XMLSchema" xmlns:p="http://schemas.microsoft.com/office/2006/metadata/properties" xmlns:ns1="http://schemas.microsoft.com/sharepoint/v3" xmlns:ns2="dcaebf34-a96d-4cac-a0ab-602767648896" xmlns:ns3="a671255e-007d-4afb-a7e1-52d5a458d1dd" targetNamespace="http://schemas.microsoft.com/office/2006/metadata/properties" ma:root="true" ma:fieldsID="7fa1c7f66a52a8e794791916bdef6335" ns1:_="" ns2:_="" ns3:_="">
    <xsd:import namespace="http://schemas.microsoft.com/sharepoint/v3"/>
    <xsd:import namespace="dcaebf34-a96d-4cac-a0ab-602767648896"/>
    <xsd:import namespace="a671255e-007d-4afb-a7e1-52d5a458d1d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Propriétés de la stratégie de conformité unifiée" ma:hidden="true" ma:internalName="_ip_UnifiedCompliancePolicyProperties">
      <xsd:simpleType>
        <xsd:restriction base="dms:Note"/>
      </xsd:simpleType>
    </xsd:element>
    <xsd:element name="_ip_UnifiedCompliancePolicyUIAction" ma:index="20" nillable="true" ma:displayName="Action d’interface utilisateur de la stratégie de conformité unifiée"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caebf34-a96d-4cac-a0ab-6027676488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7d2b5fe4-a549-4e54-ad06-6019c02a474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71255e-007d-4afb-a7e1-52d5a458d1d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a7c84f9-2462-4062-b089-57a21340f570}" ma:internalName="TaxCatchAll" ma:showField="CatchAllData" ma:web="a671255e-007d-4afb-a7e1-52d5a458d1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dcaebf34-a96d-4cac-a0ab-602767648896">
      <Terms xmlns="http://schemas.microsoft.com/office/infopath/2007/PartnerControls"/>
    </lcf76f155ced4ddcb4097134ff3c332f>
    <TaxCatchAll xmlns="a671255e-007d-4afb-a7e1-52d5a458d1dd"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4C9AE3B9-A834-4028-BB1B-5CA3C7B718A0}"/>
</file>

<file path=customXml/itemProps3.xml><?xml version="1.0" encoding="utf-8"?>
<ds:datastoreItem xmlns:ds="http://schemas.openxmlformats.org/officeDocument/2006/customXml" ds:itemID="{6159CD35-873E-49E6-B483-EE2C2E7DBC4A}"/>
</file>

<file path=customXml/itemProps4.xml><?xml version="1.0" encoding="utf-8"?>
<ds:datastoreItem xmlns:ds="http://schemas.openxmlformats.org/officeDocument/2006/customXml" ds:itemID="{E6790274-46C5-458E-8BC0-F9F6F17404AD}"/>
</file>

<file path=docMetadata/LabelInfo.xml><?xml version="1.0" encoding="utf-8"?>
<clbl:labelList xmlns:clbl="http://schemas.microsoft.com/office/2020/mipLabelMetadata">
  <clbl:label id="{1a2c4c6c-778f-4a71-abb2-982986745419}" enabled="1" method="Standard" siteId="{ce56fae6-055d-4c9f-b6c9-9d341506a491}" contentBits="0" removed="0"/>
</clbl:labelList>
</file>

<file path=docProps/app.xml><?xml version="1.0" encoding="utf-8"?>
<Properties xmlns="http://schemas.openxmlformats.org/officeDocument/2006/extended-properties" xmlns:vt="http://schemas.openxmlformats.org/officeDocument/2006/docPropsVTypes">
  <Template>Normal</Template>
  <TotalTime>14</TotalTime>
  <Pages>7</Pages>
  <Words>1596</Words>
  <Characters>9848</Characters>
  <Application>Microsoft Office Word</Application>
  <DocSecurity>0</DocSecurity>
  <Lines>209</Lines>
  <Paragraphs>128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11316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Insaf Idelhaj</dc:creator>
  <cp:keywords/>
  <dc:description>generated by python-docx</dc:description>
  <cp:lastModifiedBy>Insaf Idelhaj</cp:lastModifiedBy>
  <cp:revision>17</cp:revision>
  <dcterms:created xsi:type="dcterms:W3CDTF">2026-07-27T15:57:00Z</dcterms:created>
  <dcterms:modified xsi:type="dcterms:W3CDTF">2026-07-27T16:36:00Z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0x01010026A45FD70882D44183F5D9C2929C760F</vt:lpwstr>
  </property>
</Properties>
</file>