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CA77D" w14:textId="71C6253D" w:rsidR="00987952" w:rsidRPr="00D50A0C" w:rsidRDefault="00987952"/>
    <w:p w14:paraId="6E62183C" w14:textId="77777777" w:rsidR="00987952" w:rsidRPr="00D50A0C" w:rsidRDefault="002B0562" w:rsidP="002637CE">
      <w:pPr>
        <w:spacing w:after="100" w:line="254" w:lineRule="auto"/>
        <w:jc w:val="center"/>
      </w:pPr>
      <w:r w:rsidRPr="00D50A0C">
        <w:rPr>
          <w:b/>
          <w:sz w:val="24"/>
          <w:highlight w:val="yellow"/>
        </w:rPr>
        <w:t>[UNTERNEHMENSNAME]</w:t>
      </w:r>
    </w:p>
    <w:p w14:paraId="4448ADFB" w14:textId="77777777" w:rsidR="00987952" w:rsidRPr="00D50A0C" w:rsidRDefault="002B0562" w:rsidP="002637CE">
      <w:pPr>
        <w:spacing w:after="100" w:line="254" w:lineRule="auto"/>
        <w:jc w:val="center"/>
      </w:pPr>
      <w:r w:rsidRPr="00D50A0C">
        <w:rPr>
          <w:b/>
          <w:sz w:val="28"/>
        </w:rPr>
        <w:t>Playbook zur Reaktion auf Datenvorfälle</w:t>
      </w:r>
    </w:p>
    <w:p w14:paraId="33475D83" w14:textId="7E98A035" w:rsidR="00987952" w:rsidRPr="00D50A0C" w:rsidRDefault="002B0562" w:rsidP="002637CE">
      <w:pPr>
        <w:spacing w:after="100" w:line="254" w:lineRule="auto"/>
        <w:jc w:val="center"/>
        <w:rPr>
          <w:b/>
          <w:color w:val="3D403D"/>
        </w:rPr>
      </w:pPr>
      <w:r w:rsidRPr="00D50A0C">
        <w:rPr>
          <w:b/>
          <w:color w:val="3D403D"/>
        </w:rPr>
        <w:t>Geschäftlich</w:t>
      </w:r>
      <w:r w:rsidR="00DA7AE7" w:rsidRPr="00D50A0C">
        <w:rPr>
          <w:b/>
          <w:color w:val="3D403D"/>
        </w:rPr>
        <w:t>/V</w:t>
      </w:r>
      <w:r w:rsidRPr="00D50A0C">
        <w:rPr>
          <w:b/>
          <w:color w:val="3D403D"/>
        </w:rPr>
        <w:t>ertraulich</w:t>
      </w:r>
      <w:r w:rsidR="00DA7AE7" w:rsidRPr="00D50A0C">
        <w:rPr>
          <w:b/>
          <w:color w:val="3D403D"/>
        </w:rPr>
        <w:t xml:space="preserve"> -</w:t>
      </w:r>
      <w:r w:rsidRPr="00D50A0C">
        <w:rPr>
          <w:b/>
          <w:color w:val="3D403D"/>
        </w:rPr>
        <w:t xml:space="preserve"> Nicht zur Weitergabe bestimmt</w:t>
      </w:r>
    </w:p>
    <w:p w14:paraId="746D6203" w14:textId="77777777" w:rsidR="002637CE" w:rsidRPr="00D50A0C" w:rsidRDefault="002637CE" w:rsidP="002637CE">
      <w:pPr>
        <w:spacing w:after="100" w:line="254" w:lineRule="auto"/>
        <w:jc w:val="center"/>
        <w:rPr>
          <w:b/>
          <w:color w:val="3D403D"/>
        </w:rPr>
      </w:pPr>
    </w:p>
    <w:p w14:paraId="35CA7945" w14:textId="77777777" w:rsidR="002637CE" w:rsidRPr="00D50A0C" w:rsidRDefault="002637CE" w:rsidP="002637CE">
      <w:pPr>
        <w:spacing w:after="100" w:line="254" w:lineRule="auto"/>
        <w:jc w:val="center"/>
        <w:rPr>
          <w:b/>
          <w:color w:val="3D403D"/>
        </w:rPr>
      </w:pPr>
    </w:p>
    <w:p w14:paraId="5FF63EE0" w14:textId="77777777" w:rsidR="002637CE" w:rsidRPr="00D50A0C" w:rsidRDefault="002637CE" w:rsidP="002637CE">
      <w:pPr>
        <w:spacing w:after="100" w:line="254" w:lineRule="auto"/>
        <w:jc w:val="center"/>
      </w:pPr>
    </w:p>
    <w:p w14:paraId="53DB3092" w14:textId="77777777" w:rsidR="00987952" w:rsidRPr="00D50A0C" w:rsidRDefault="002B0562">
      <w:pPr>
        <w:spacing w:after="100" w:line="254" w:lineRule="auto"/>
      </w:pPr>
      <w:r w:rsidRPr="00D50A0C">
        <w:rPr>
          <w:b/>
          <w:color w:val="3D403D"/>
        </w:rPr>
        <w:t>VERSIONSHISTORIE</w:t>
      </w:r>
    </w:p>
    <w:tbl>
      <w:tblPr>
        <w:tblStyle w:val="TableGrid"/>
        <w:tblW w:w="0" w:type="auto"/>
        <w:jc w:val="center"/>
        <w:tblLook w:val="04A0" w:firstRow="1" w:lastRow="0" w:firstColumn="1" w:lastColumn="0" w:noHBand="0" w:noVBand="1"/>
      </w:tblPr>
      <w:tblGrid>
        <w:gridCol w:w="1502"/>
        <w:gridCol w:w="1669"/>
        <w:gridCol w:w="2153"/>
        <w:gridCol w:w="4832"/>
      </w:tblGrid>
      <w:tr w:rsidR="00987952" w:rsidRPr="00D50A0C" w14:paraId="0483D4CA" w14:textId="77777777" w:rsidTr="00D50A0C">
        <w:trPr>
          <w:jc w:val="center"/>
        </w:trPr>
        <w:tc>
          <w:tcPr>
            <w:tcW w:w="1584" w:type="dxa"/>
            <w:shd w:val="clear" w:color="auto" w:fill="BFBFBF" w:themeFill="background1" w:themeFillShade="BF"/>
            <w:tcMar>
              <w:top w:w="90" w:type="dxa"/>
              <w:left w:w="90" w:type="dxa"/>
              <w:bottom w:w="90" w:type="dxa"/>
              <w:right w:w="90" w:type="dxa"/>
            </w:tcMar>
            <w:vAlign w:val="center"/>
          </w:tcPr>
          <w:p w14:paraId="1AE343E8" w14:textId="77777777" w:rsidR="00987952" w:rsidRPr="00D50A0C" w:rsidRDefault="002B0562">
            <w:pPr>
              <w:spacing w:after="20"/>
            </w:pPr>
            <w:r w:rsidRPr="00D50A0C">
              <w:rPr>
                <w:b/>
                <w:sz w:val="19"/>
              </w:rPr>
              <w:t>VERSION</w:t>
            </w:r>
          </w:p>
        </w:tc>
        <w:tc>
          <w:tcPr>
            <w:tcW w:w="1800" w:type="dxa"/>
            <w:shd w:val="clear" w:color="auto" w:fill="BFBFBF" w:themeFill="background1" w:themeFillShade="BF"/>
            <w:tcMar>
              <w:top w:w="90" w:type="dxa"/>
              <w:left w:w="90" w:type="dxa"/>
              <w:bottom w:w="90" w:type="dxa"/>
              <w:right w:w="90" w:type="dxa"/>
            </w:tcMar>
            <w:vAlign w:val="center"/>
          </w:tcPr>
          <w:p w14:paraId="1BB0E038" w14:textId="77777777" w:rsidR="00987952" w:rsidRPr="00D50A0C" w:rsidRDefault="002B0562">
            <w:pPr>
              <w:spacing w:after="20"/>
            </w:pPr>
            <w:r w:rsidRPr="00D50A0C">
              <w:rPr>
                <w:b/>
                <w:sz w:val="19"/>
              </w:rPr>
              <w:t>DATUM</w:t>
            </w:r>
          </w:p>
        </w:tc>
        <w:tc>
          <w:tcPr>
            <w:tcW w:w="2376" w:type="dxa"/>
            <w:shd w:val="clear" w:color="auto" w:fill="BFBFBF" w:themeFill="background1" w:themeFillShade="BF"/>
            <w:tcMar>
              <w:top w:w="90" w:type="dxa"/>
              <w:left w:w="90" w:type="dxa"/>
              <w:bottom w:w="90" w:type="dxa"/>
              <w:right w:w="90" w:type="dxa"/>
            </w:tcMar>
            <w:vAlign w:val="center"/>
          </w:tcPr>
          <w:p w14:paraId="6B967C03" w14:textId="77777777" w:rsidR="00987952" w:rsidRPr="00D50A0C" w:rsidRDefault="002B0562">
            <w:pPr>
              <w:spacing w:after="20"/>
            </w:pPr>
            <w:r w:rsidRPr="00D50A0C">
              <w:rPr>
                <w:b/>
                <w:sz w:val="19"/>
              </w:rPr>
              <w:t>NAME</w:t>
            </w:r>
          </w:p>
        </w:tc>
        <w:tc>
          <w:tcPr>
            <w:tcW w:w="5328" w:type="dxa"/>
            <w:shd w:val="clear" w:color="auto" w:fill="BFBFBF" w:themeFill="background1" w:themeFillShade="BF"/>
            <w:tcMar>
              <w:top w:w="90" w:type="dxa"/>
              <w:left w:w="90" w:type="dxa"/>
              <w:bottom w:w="90" w:type="dxa"/>
              <w:right w:w="90" w:type="dxa"/>
            </w:tcMar>
            <w:vAlign w:val="center"/>
          </w:tcPr>
          <w:p w14:paraId="07207DB9" w14:textId="77777777" w:rsidR="00987952" w:rsidRPr="00D50A0C" w:rsidRDefault="002B0562">
            <w:pPr>
              <w:spacing w:after="20"/>
            </w:pPr>
            <w:r w:rsidRPr="00D50A0C">
              <w:rPr>
                <w:b/>
                <w:sz w:val="19"/>
              </w:rPr>
              <w:t>BESCHREIBUNG</w:t>
            </w:r>
          </w:p>
        </w:tc>
      </w:tr>
      <w:tr w:rsidR="00987952" w:rsidRPr="00D50A0C" w14:paraId="237C2924" w14:textId="77777777">
        <w:trPr>
          <w:jc w:val="center"/>
        </w:trPr>
        <w:tc>
          <w:tcPr>
            <w:tcW w:w="1584" w:type="dxa"/>
            <w:tcMar>
              <w:top w:w="90" w:type="dxa"/>
              <w:left w:w="90" w:type="dxa"/>
              <w:bottom w:w="90" w:type="dxa"/>
              <w:right w:w="90" w:type="dxa"/>
            </w:tcMar>
            <w:vAlign w:val="center"/>
          </w:tcPr>
          <w:p w14:paraId="5086EDCC" w14:textId="77777777" w:rsidR="00987952" w:rsidRPr="00D50A0C" w:rsidRDefault="00987952">
            <w:pPr>
              <w:spacing w:after="20"/>
            </w:pPr>
          </w:p>
        </w:tc>
        <w:tc>
          <w:tcPr>
            <w:tcW w:w="1800" w:type="dxa"/>
            <w:tcMar>
              <w:top w:w="90" w:type="dxa"/>
              <w:left w:w="90" w:type="dxa"/>
              <w:bottom w:w="90" w:type="dxa"/>
              <w:right w:w="90" w:type="dxa"/>
            </w:tcMar>
            <w:vAlign w:val="center"/>
          </w:tcPr>
          <w:p w14:paraId="635D8F96" w14:textId="77777777" w:rsidR="00987952" w:rsidRPr="00D50A0C" w:rsidRDefault="00987952">
            <w:pPr>
              <w:spacing w:after="20"/>
            </w:pPr>
          </w:p>
        </w:tc>
        <w:tc>
          <w:tcPr>
            <w:tcW w:w="2376" w:type="dxa"/>
            <w:tcMar>
              <w:top w:w="90" w:type="dxa"/>
              <w:left w:w="90" w:type="dxa"/>
              <w:bottom w:w="90" w:type="dxa"/>
              <w:right w:w="90" w:type="dxa"/>
            </w:tcMar>
            <w:vAlign w:val="center"/>
          </w:tcPr>
          <w:p w14:paraId="175A5D96" w14:textId="77777777" w:rsidR="00987952" w:rsidRPr="00D50A0C" w:rsidRDefault="00987952">
            <w:pPr>
              <w:spacing w:after="20"/>
            </w:pPr>
          </w:p>
        </w:tc>
        <w:tc>
          <w:tcPr>
            <w:tcW w:w="5328" w:type="dxa"/>
            <w:tcMar>
              <w:top w:w="90" w:type="dxa"/>
              <w:left w:w="90" w:type="dxa"/>
              <w:bottom w:w="90" w:type="dxa"/>
              <w:right w:w="90" w:type="dxa"/>
            </w:tcMar>
            <w:vAlign w:val="center"/>
          </w:tcPr>
          <w:p w14:paraId="00C51325" w14:textId="77777777" w:rsidR="00987952" w:rsidRPr="00D50A0C" w:rsidRDefault="00987952">
            <w:pPr>
              <w:spacing w:after="20"/>
            </w:pPr>
          </w:p>
        </w:tc>
      </w:tr>
      <w:tr w:rsidR="00987952" w:rsidRPr="00D50A0C" w14:paraId="6E702C9C" w14:textId="77777777">
        <w:trPr>
          <w:jc w:val="center"/>
        </w:trPr>
        <w:tc>
          <w:tcPr>
            <w:tcW w:w="1584" w:type="dxa"/>
            <w:tcMar>
              <w:top w:w="90" w:type="dxa"/>
              <w:left w:w="90" w:type="dxa"/>
              <w:bottom w:w="90" w:type="dxa"/>
              <w:right w:w="90" w:type="dxa"/>
            </w:tcMar>
            <w:vAlign w:val="center"/>
          </w:tcPr>
          <w:p w14:paraId="6D43147B" w14:textId="77777777" w:rsidR="00987952" w:rsidRPr="00D50A0C" w:rsidRDefault="00987952">
            <w:pPr>
              <w:spacing w:after="20"/>
            </w:pPr>
          </w:p>
        </w:tc>
        <w:tc>
          <w:tcPr>
            <w:tcW w:w="1800" w:type="dxa"/>
            <w:tcMar>
              <w:top w:w="90" w:type="dxa"/>
              <w:left w:w="90" w:type="dxa"/>
              <w:bottom w:w="90" w:type="dxa"/>
              <w:right w:w="90" w:type="dxa"/>
            </w:tcMar>
            <w:vAlign w:val="center"/>
          </w:tcPr>
          <w:p w14:paraId="4175A630" w14:textId="77777777" w:rsidR="00987952" w:rsidRPr="00D50A0C" w:rsidRDefault="00987952">
            <w:pPr>
              <w:spacing w:after="20"/>
            </w:pPr>
          </w:p>
        </w:tc>
        <w:tc>
          <w:tcPr>
            <w:tcW w:w="2376" w:type="dxa"/>
            <w:tcMar>
              <w:top w:w="90" w:type="dxa"/>
              <w:left w:w="90" w:type="dxa"/>
              <w:bottom w:w="90" w:type="dxa"/>
              <w:right w:w="90" w:type="dxa"/>
            </w:tcMar>
            <w:vAlign w:val="center"/>
          </w:tcPr>
          <w:p w14:paraId="59754618" w14:textId="77777777" w:rsidR="00987952" w:rsidRPr="00D50A0C" w:rsidRDefault="00987952">
            <w:pPr>
              <w:spacing w:after="20"/>
            </w:pPr>
          </w:p>
        </w:tc>
        <w:tc>
          <w:tcPr>
            <w:tcW w:w="5328" w:type="dxa"/>
            <w:tcMar>
              <w:top w:w="90" w:type="dxa"/>
              <w:left w:w="90" w:type="dxa"/>
              <w:bottom w:w="90" w:type="dxa"/>
              <w:right w:w="90" w:type="dxa"/>
            </w:tcMar>
            <w:vAlign w:val="center"/>
          </w:tcPr>
          <w:p w14:paraId="030EEB94" w14:textId="77777777" w:rsidR="00987952" w:rsidRPr="00D50A0C" w:rsidRDefault="00987952">
            <w:pPr>
              <w:spacing w:after="20"/>
            </w:pPr>
          </w:p>
        </w:tc>
      </w:tr>
      <w:tr w:rsidR="00987952" w:rsidRPr="00D50A0C" w14:paraId="51C0FB5E" w14:textId="77777777">
        <w:trPr>
          <w:jc w:val="center"/>
        </w:trPr>
        <w:tc>
          <w:tcPr>
            <w:tcW w:w="1584" w:type="dxa"/>
            <w:tcMar>
              <w:top w:w="90" w:type="dxa"/>
              <w:left w:w="90" w:type="dxa"/>
              <w:bottom w:w="90" w:type="dxa"/>
              <w:right w:w="90" w:type="dxa"/>
            </w:tcMar>
            <w:vAlign w:val="center"/>
          </w:tcPr>
          <w:p w14:paraId="606C3E14" w14:textId="77777777" w:rsidR="00987952" w:rsidRPr="00D50A0C" w:rsidRDefault="00987952">
            <w:pPr>
              <w:spacing w:after="20"/>
            </w:pPr>
          </w:p>
        </w:tc>
        <w:tc>
          <w:tcPr>
            <w:tcW w:w="1800" w:type="dxa"/>
            <w:tcMar>
              <w:top w:w="90" w:type="dxa"/>
              <w:left w:w="90" w:type="dxa"/>
              <w:bottom w:w="90" w:type="dxa"/>
              <w:right w:w="90" w:type="dxa"/>
            </w:tcMar>
            <w:vAlign w:val="center"/>
          </w:tcPr>
          <w:p w14:paraId="33967B47" w14:textId="77777777" w:rsidR="00987952" w:rsidRPr="00D50A0C" w:rsidRDefault="00987952">
            <w:pPr>
              <w:spacing w:after="20"/>
            </w:pPr>
          </w:p>
        </w:tc>
        <w:tc>
          <w:tcPr>
            <w:tcW w:w="2376" w:type="dxa"/>
            <w:tcMar>
              <w:top w:w="90" w:type="dxa"/>
              <w:left w:w="90" w:type="dxa"/>
              <w:bottom w:w="90" w:type="dxa"/>
              <w:right w:w="90" w:type="dxa"/>
            </w:tcMar>
            <w:vAlign w:val="center"/>
          </w:tcPr>
          <w:p w14:paraId="2F042FDB" w14:textId="77777777" w:rsidR="00987952" w:rsidRPr="00D50A0C" w:rsidRDefault="00987952">
            <w:pPr>
              <w:spacing w:after="20"/>
            </w:pPr>
          </w:p>
        </w:tc>
        <w:tc>
          <w:tcPr>
            <w:tcW w:w="5328" w:type="dxa"/>
            <w:tcMar>
              <w:top w:w="90" w:type="dxa"/>
              <w:left w:w="90" w:type="dxa"/>
              <w:bottom w:w="90" w:type="dxa"/>
              <w:right w:w="90" w:type="dxa"/>
            </w:tcMar>
            <w:vAlign w:val="center"/>
          </w:tcPr>
          <w:p w14:paraId="4EACAEF6" w14:textId="77777777" w:rsidR="00987952" w:rsidRPr="00D50A0C" w:rsidRDefault="00987952">
            <w:pPr>
              <w:spacing w:after="20"/>
            </w:pPr>
          </w:p>
        </w:tc>
      </w:tr>
      <w:tr w:rsidR="00987952" w:rsidRPr="00D50A0C" w14:paraId="3A3CB42C" w14:textId="77777777">
        <w:trPr>
          <w:jc w:val="center"/>
        </w:trPr>
        <w:tc>
          <w:tcPr>
            <w:tcW w:w="1584" w:type="dxa"/>
            <w:tcMar>
              <w:top w:w="90" w:type="dxa"/>
              <w:left w:w="90" w:type="dxa"/>
              <w:bottom w:w="90" w:type="dxa"/>
              <w:right w:w="90" w:type="dxa"/>
            </w:tcMar>
            <w:vAlign w:val="center"/>
          </w:tcPr>
          <w:p w14:paraId="7378237B" w14:textId="77777777" w:rsidR="00987952" w:rsidRPr="00D50A0C" w:rsidRDefault="00987952">
            <w:pPr>
              <w:spacing w:after="20"/>
            </w:pPr>
          </w:p>
        </w:tc>
        <w:tc>
          <w:tcPr>
            <w:tcW w:w="1800" w:type="dxa"/>
            <w:tcMar>
              <w:top w:w="90" w:type="dxa"/>
              <w:left w:w="90" w:type="dxa"/>
              <w:bottom w:w="90" w:type="dxa"/>
              <w:right w:w="90" w:type="dxa"/>
            </w:tcMar>
            <w:vAlign w:val="center"/>
          </w:tcPr>
          <w:p w14:paraId="62F619D2" w14:textId="77777777" w:rsidR="00987952" w:rsidRPr="00D50A0C" w:rsidRDefault="00987952">
            <w:pPr>
              <w:spacing w:after="20"/>
            </w:pPr>
          </w:p>
        </w:tc>
        <w:tc>
          <w:tcPr>
            <w:tcW w:w="2376" w:type="dxa"/>
            <w:tcMar>
              <w:top w:w="90" w:type="dxa"/>
              <w:left w:w="90" w:type="dxa"/>
              <w:bottom w:w="90" w:type="dxa"/>
              <w:right w:w="90" w:type="dxa"/>
            </w:tcMar>
            <w:vAlign w:val="center"/>
          </w:tcPr>
          <w:p w14:paraId="16497C1C" w14:textId="77777777" w:rsidR="00987952" w:rsidRPr="00D50A0C" w:rsidRDefault="00987952">
            <w:pPr>
              <w:spacing w:after="20"/>
            </w:pPr>
          </w:p>
        </w:tc>
        <w:tc>
          <w:tcPr>
            <w:tcW w:w="5328" w:type="dxa"/>
            <w:tcMar>
              <w:top w:w="90" w:type="dxa"/>
              <w:left w:w="90" w:type="dxa"/>
              <w:bottom w:w="90" w:type="dxa"/>
              <w:right w:w="90" w:type="dxa"/>
            </w:tcMar>
            <w:vAlign w:val="center"/>
          </w:tcPr>
          <w:p w14:paraId="1C2B0A74" w14:textId="77777777" w:rsidR="00987952" w:rsidRPr="00D50A0C" w:rsidRDefault="00987952">
            <w:pPr>
              <w:spacing w:after="20"/>
            </w:pPr>
          </w:p>
        </w:tc>
      </w:tr>
      <w:tr w:rsidR="00987952" w:rsidRPr="00D50A0C" w14:paraId="476DF495" w14:textId="77777777">
        <w:trPr>
          <w:jc w:val="center"/>
        </w:trPr>
        <w:tc>
          <w:tcPr>
            <w:tcW w:w="1584" w:type="dxa"/>
            <w:tcMar>
              <w:top w:w="90" w:type="dxa"/>
              <w:left w:w="90" w:type="dxa"/>
              <w:bottom w:w="90" w:type="dxa"/>
              <w:right w:w="90" w:type="dxa"/>
            </w:tcMar>
            <w:vAlign w:val="center"/>
          </w:tcPr>
          <w:p w14:paraId="45D8C005" w14:textId="77777777" w:rsidR="00987952" w:rsidRPr="00D50A0C" w:rsidRDefault="00987952">
            <w:pPr>
              <w:spacing w:after="20"/>
            </w:pPr>
          </w:p>
        </w:tc>
        <w:tc>
          <w:tcPr>
            <w:tcW w:w="1800" w:type="dxa"/>
            <w:tcMar>
              <w:top w:w="90" w:type="dxa"/>
              <w:left w:w="90" w:type="dxa"/>
              <w:bottom w:w="90" w:type="dxa"/>
              <w:right w:w="90" w:type="dxa"/>
            </w:tcMar>
            <w:vAlign w:val="center"/>
          </w:tcPr>
          <w:p w14:paraId="274B56F6" w14:textId="77777777" w:rsidR="00987952" w:rsidRPr="00D50A0C" w:rsidRDefault="00987952">
            <w:pPr>
              <w:spacing w:after="20"/>
            </w:pPr>
          </w:p>
        </w:tc>
        <w:tc>
          <w:tcPr>
            <w:tcW w:w="2376" w:type="dxa"/>
            <w:tcMar>
              <w:top w:w="90" w:type="dxa"/>
              <w:left w:w="90" w:type="dxa"/>
              <w:bottom w:w="90" w:type="dxa"/>
              <w:right w:w="90" w:type="dxa"/>
            </w:tcMar>
            <w:vAlign w:val="center"/>
          </w:tcPr>
          <w:p w14:paraId="1053D85D" w14:textId="77777777" w:rsidR="00987952" w:rsidRPr="00D50A0C" w:rsidRDefault="00987952">
            <w:pPr>
              <w:spacing w:after="20"/>
            </w:pPr>
          </w:p>
        </w:tc>
        <w:tc>
          <w:tcPr>
            <w:tcW w:w="5328" w:type="dxa"/>
            <w:tcMar>
              <w:top w:w="90" w:type="dxa"/>
              <w:left w:w="90" w:type="dxa"/>
              <w:bottom w:w="90" w:type="dxa"/>
              <w:right w:w="90" w:type="dxa"/>
            </w:tcMar>
            <w:vAlign w:val="center"/>
          </w:tcPr>
          <w:p w14:paraId="7BA015B6" w14:textId="77777777" w:rsidR="00987952" w:rsidRPr="00D50A0C" w:rsidRDefault="00987952">
            <w:pPr>
              <w:spacing w:after="20"/>
            </w:pPr>
          </w:p>
        </w:tc>
      </w:tr>
      <w:tr w:rsidR="00987952" w:rsidRPr="00D50A0C" w14:paraId="4E6E763B" w14:textId="77777777">
        <w:trPr>
          <w:jc w:val="center"/>
        </w:trPr>
        <w:tc>
          <w:tcPr>
            <w:tcW w:w="1584" w:type="dxa"/>
            <w:tcMar>
              <w:top w:w="90" w:type="dxa"/>
              <w:left w:w="90" w:type="dxa"/>
              <w:bottom w:w="90" w:type="dxa"/>
              <w:right w:w="90" w:type="dxa"/>
            </w:tcMar>
            <w:vAlign w:val="center"/>
          </w:tcPr>
          <w:p w14:paraId="604CCF92" w14:textId="77777777" w:rsidR="00987952" w:rsidRPr="00D50A0C" w:rsidRDefault="00987952">
            <w:pPr>
              <w:spacing w:after="20"/>
            </w:pPr>
          </w:p>
        </w:tc>
        <w:tc>
          <w:tcPr>
            <w:tcW w:w="1800" w:type="dxa"/>
            <w:tcMar>
              <w:top w:w="90" w:type="dxa"/>
              <w:left w:w="90" w:type="dxa"/>
              <w:bottom w:w="90" w:type="dxa"/>
              <w:right w:w="90" w:type="dxa"/>
            </w:tcMar>
            <w:vAlign w:val="center"/>
          </w:tcPr>
          <w:p w14:paraId="7DC3ECE7" w14:textId="77777777" w:rsidR="00987952" w:rsidRPr="00D50A0C" w:rsidRDefault="00987952">
            <w:pPr>
              <w:spacing w:after="20"/>
            </w:pPr>
          </w:p>
        </w:tc>
        <w:tc>
          <w:tcPr>
            <w:tcW w:w="2376" w:type="dxa"/>
            <w:tcMar>
              <w:top w:w="90" w:type="dxa"/>
              <w:left w:w="90" w:type="dxa"/>
              <w:bottom w:w="90" w:type="dxa"/>
              <w:right w:w="90" w:type="dxa"/>
            </w:tcMar>
            <w:vAlign w:val="center"/>
          </w:tcPr>
          <w:p w14:paraId="60644417" w14:textId="77777777" w:rsidR="00987952" w:rsidRPr="00D50A0C" w:rsidRDefault="00987952">
            <w:pPr>
              <w:spacing w:after="20"/>
            </w:pPr>
          </w:p>
        </w:tc>
        <w:tc>
          <w:tcPr>
            <w:tcW w:w="5328" w:type="dxa"/>
            <w:tcMar>
              <w:top w:w="90" w:type="dxa"/>
              <w:left w:w="90" w:type="dxa"/>
              <w:bottom w:w="90" w:type="dxa"/>
              <w:right w:w="90" w:type="dxa"/>
            </w:tcMar>
            <w:vAlign w:val="center"/>
          </w:tcPr>
          <w:p w14:paraId="01950F09" w14:textId="77777777" w:rsidR="00987952" w:rsidRPr="00D50A0C" w:rsidRDefault="00987952">
            <w:pPr>
              <w:spacing w:after="20"/>
            </w:pPr>
          </w:p>
        </w:tc>
      </w:tr>
      <w:tr w:rsidR="00987952" w:rsidRPr="00D50A0C" w14:paraId="6E71A49F" w14:textId="77777777">
        <w:trPr>
          <w:jc w:val="center"/>
        </w:trPr>
        <w:tc>
          <w:tcPr>
            <w:tcW w:w="1584" w:type="dxa"/>
            <w:tcMar>
              <w:top w:w="90" w:type="dxa"/>
              <w:left w:w="90" w:type="dxa"/>
              <w:bottom w:w="90" w:type="dxa"/>
              <w:right w:w="90" w:type="dxa"/>
            </w:tcMar>
            <w:vAlign w:val="center"/>
          </w:tcPr>
          <w:p w14:paraId="7EBA847B" w14:textId="77777777" w:rsidR="00987952" w:rsidRPr="00D50A0C" w:rsidRDefault="00987952">
            <w:pPr>
              <w:spacing w:after="20"/>
            </w:pPr>
          </w:p>
        </w:tc>
        <w:tc>
          <w:tcPr>
            <w:tcW w:w="1800" w:type="dxa"/>
            <w:tcMar>
              <w:top w:w="90" w:type="dxa"/>
              <w:left w:w="90" w:type="dxa"/>
              <w:bottom w:w="90" w:type="dxa"/>
              <w:right w:w="90" w:type="dxa"/>
            </w:tcMar>
            <w:vAlign w:val="center"/>
          </w:tcPr>
          <w:p w14:paraId="54796030" w14:textId="77777777" w:rsidR="00987952" w:rsidRPr="00D50A0C" w:rsidRDefault="00987952">
            <w:pPr>
              <w:spacing w:after="20"/>
            </w:pPr>
          </w:p>
        </w:tc>
        <w:tc>
          <w:tcPr>
            <w:tcW w:w="2376" w:type="dxa"/>
            <w:tcMar>
              <w:top w:w="90" w:type="dxa"/>
              <w:left w:w="90" w:type="dxa"/>
              <w:bottom w:w="90" w:type="dxa"/>
              <w:right w:w="90" w:type="dxa"/>
            </w:tcMar>
            <w:vAlign w:val="center"/>
          </w:tcPr>
          <w:p w14:paraId="4F6BF4DE" w14:textId="77777777" w:rsidR="00987952" w:rsidRPr="00D50A0C" w:rsidRDefault="00987952">
            <w:pPr>
              <w:spacing w:after="20"/>
            </w:pPr>
          </w:p>
        </w:tc>
        <w:tc>
          <w:tcPr>
            <w:tcW w:w="5328" w:type="dxa"/>
            <w:tcMar>
              <w:top w:w="90" w:type="dxa"/>
              <w:left w:w="90" w:type="dxa"/>
              <w:bottom w:w="90" w:type="dxa"/>
              <w:right w:w="90" w:type="dxa"/>
            </w:tcMar>
            <w:vAlign w:val="center"/>
          </w:tcPr>
          <w:p w14:paraId="7B9DC3E8" w14:textId="77777777" w:rsidR="00987952" w:rsidRPr="00D50A0C" w:rsidRDefault="00987952">
            <w:pPr>
              <w:spacing w:after="20"/>
            </w:pPr>
          </w:p>
        </w:tc>
      </w:tr>
    </w:tbl>
    <w:p w14:paraId="18C56605" w14:textId="77777777" w:rsidR="00987952" w:rsidRPr="00D50A0C" w:rsidRDefault="00987952">
      <w:pPr>
        <w:spacing w:after="100" w:line="254" w:lineRule="auto"/>
      </w:pPr>
    </w:p>
    <w:p w14:paraId="67E783D6" w14:textId="77777777" w:rsidR="00987952" w:rsidRPr="00D50A0C" w:rsidRDefault="002B0562">
      <w:pPr>
        <w:spacing w:after="100" w:line="254" w:lineRule="auto"/>
      </w:pPr>
      <w:r w:rsidRPr="00D50A0C">
        <w:rPr>
          <w:b/>
        </w:rPr>
        <w:t xml:space="preserve">Playbook-Verantwortliche/r: </w:t>
      </w:r>
    </w:p>
    <w:p w14:paraId="37B9A786" w14:textId="77777777" w:rsidR="00987952" w:rsidRPr="00D50A0C" w:rsidRDefault="002B0562">
      <w:pPr>
        <w:spacing w:after="100" w:line="254" w:lineRule="auto"/>
      </w:pPr>
      <w:r w:rsidRPr="00D50A0C">
        <w:rPr>
          <w:b/>
        </w:rPr>
        <w:t xml:space="preserve">Nächste Überprüfung: </w:t>
      </w:r>
    </w:p>
    <w:p w14:paraId="685C800A" w14:textId="77777777" w:rsidR="00987952" w:rsidRPr="00D50A0C" w:rsidRDefault="002B0562">
      <w:r w:rsidRPr="00D50A0C">
        <w:br w:type="page"/>
      </w:r>
    </w:p>
    <w:sdt>
      <w:sdtPr>
        <w:id w:val="-1776560189"/>
        <w:docPartObj>
          <w:docPartGallery w:val="Table of Contents"/>
          <w:docPartUnique/>
        </w:docPartObj>
      </w:sdtPr>
      <w:sdtEndPr>
        <w:rPr>
          <w:b/>
          <w:bCs/>
        </w:rPr>
      </w:sdtEndPr>
      <w:sdtContent>
        <w:p w14:paraId="1CEF93F6" w14:textId="4E48EF53" w:rsidR="002637CE" w:rsidRPr="00D50A0C" w:rsidRDefault="002637CE" w:rsidP="002637CE">
          <w:pPr>
            <w:spacing w:after="100" w:line="254" w:lineRule="auto"/>
          </w:pPr>
          <w:r w:rsidRPr="00D50A0C">
            <w:rPr>
              <w:b/>
              <w:sz w:val="24"/>
            </w:rPr>
            <w:t>Inhaltsverzeichnis</w:t>
          </w:r>
        </w:p>
        <w:p w14:paraId="1DB3F9AF" w14:textId="77777777" w:rsidR="002637CE" w:rsidRPr="00D50A0C" w:rsidRDefault="002637CE">
          <w:pPr>
            <w:pStyle w:val="TOC3"/>
            <w:tabs>
              <w:tab w:val="right" w:leader="dot" w:pos="10156"/>
            </w:tabs>
          </w:pPr>
        </w:p>
        <w:p w14:paraId="120E15AA" w14:textId="65FA254D" w:rsidR="007A4F90" w:rsidRDefault="002637CE">
          <w:pPr>
            <w:pStyle w:val="TOC3"/>
            <w:tabs>
              <w:tab w:val="right" w:leader="dot" w:pos="10156"/>
            </w:tabs>
            <w:rPr>
              <w:rFonts w:asciiTheme="minorHAnsi" w:eastAsiaTheme="minorEastAsia" w:hAnsiTheme="minorHAnsi"/>
              <w:noProof/>
              <w:kern w:val="2"/>
              <w:sz w:val="24"/>
              <w:szCs w:val="24"/>
              <w:lang w:eastAsia="de-DE"/>
              <w14:ligatures w14:val="standardContextual"/>
            </w:rPr>
          </w:pPr>
          <w:r w:rsidRPr="00D50A0C">
            <w:fldChar w:fldCharType="begin"/>
          </w:r>
          <w:r w:rsidRPr="00D50A0C">
            <w:instrText xml:space="preserve"> TOC \o "1-3" \h \z \u </w:instrText>
          </w:r>
          <w:r w:rsidRPr="00D50A0C">
            <w:fldChar w:fldCharType="separate"/>
          </w:r>
          <w:hyperlink w:anchor="_Toc239163876" w:history="1">
            <w:r w:rsidR="007A4F90" w:rsidRPr="00944666">
              <w:rPr>
                <w:rStyle w:val="Hyperlink"/>
                <w:rFonts w:ascii="Aptos Display" w:eastAsia="Aptos Display" w:hAnsi="Aptos Display"/>
                <w:noProof/>
              </w:rPr>
              <w:t>1. Erkennung</w:t>
            </w:r>
            <w:r w:rsidR="007A4F90">
              <w:rPr>
                <w:noProof/>
                <w:webHidden/>
              </w:rPr>
              <w:tab/>
            </w:r>
            <w:r w:rsidR="007A4F90">
              <w:rPr>
                <w:noProof/>
                <w:webHidden/>
              </w:rPr>
              <w:fldChar w:fldCharType="begin"/>
            </w:r>
            <w:r w:rsidR="007A4F90">
              <w:rPr>
                <w:noProof/>
                <w:webHidden/>
              </w:rPr>
              <w:instrText xml:space="preserve"> PAGEREF _Toc239163876 \h </w:instrText>
            </w:r>
            <w:r w:rsidR="007A4F90">
              <w:rPr>
                <w:noProof/>
                <w:webHidden/>
              </w:rPr>
            </w:r>
            <w:r w:rsidR="007A4F90">
              <w:rPr>
                <w:noProof/>
                <w:webHidden/>
              </w:rPr>
              <w:fldChar w:fldCharType="separate"/>
            </w:r>
            <w:r w:rsidR="007A4F90">
              <w:rPr>
                <w:noProof/>
                <w:webHidden/>
              </w:rPr>
              <w:t>3</w:t>
            </w:r>
            <w:r w:rsidR="007A4F90">
              <w:rPr>
                <w:noProof/>
                <w:webHidden/>
              </w:rPr>
              <w:fldChar w:fldCharType="end"/>
            </w:r>
          </w:hyperlink>
        </w:p>
        <w:p w14:paraId="4161DB92" w14:textId="6B862054" w:rsidR="007A4F90" w:rsidRDefault="007A4F90">
          <w:pPr>
            <w:pStyle w:val="TOC3"/>
            <w:tabs>
              <w:tab w:val="right" w:leader="dot" w:pos="10156"/>
            </w:tabs>
            <w:rPr>
              <w:rFonts w:asciiTheme="minorHAnsi" w:eastAsiaTheme="minorEastAsia" w:hAnsiTheme="minorHAnsi"/>
              <w:noProof/>
              <w:kern w:val="2"/>
              <w:sz w:val="24"/>
              <w:szCs w:val="24"/>
              <w:lang w:eastAsia="de-DE"/>
              <w14:ligatures w14:val="standardContextual"/>
            </w:rPr>
          </w:pPr>
          <w:hyperlink w:anchor="_Toc239163877" w:history="1">
            <w:r w:rsidRPr="00944666">
              <w:rPr>
                <w:rStyle w:val="Hyperlink"/>
                <w:rFonts w:ascii="Aptos Display" w:eastAsia="Aptos Display" w:hAnsi="Aptos Display"/>
                <w:noProof/>
              </w:rPr>
              <w:t>1.2 Rollen und Verantwortlichkeiten</w:t>
            </w:r>
            <w:r>
              <w:rPr>
                <w:noProof/>
                <w:webHidden/>
              </w:rPr>
              <w:tab/>
            </w:r>
            <w:r>
              <w:rPr>
                <w:noProof/>
                <w:webHidden/>
              </w:rPr>
              <w:fldChar w:fldCharType="begin"/>
            </w:r>
            <w:r>
              <w:rPr>
                <w:noProof/>
                <w:webHidden/>
              </w:rPr>
              <w:instrText xml:space="preserve"> PAGEREF _Toc239163877 \h </w:instrText>
            </w:r>
            <w:r>
              <w:rPr>
                <w:noProof/>
                <w:webHidden/>
              </w:rPr>
            </w:r>
            <w:r>
              <w:rPr>
                <w:noProof/>
                <w:webHidden/>
              </w:rPr>
              <w:fldChar w:fldCharType="separate"/>
            </w:r>
            <w:r>
              <w:rPr>
                <w:noProof/>
                <w:webHidden/>
              </w:rPr>
              <w:t>3</w:t>
            </w:r>
            <w:r>
              <w:rPr>
                <w:noProof/>
                <w:webHidden/>
              </w:rPr>
              <w:fldChar w:fldCharType="end"/>
            </w:r>
          </w:hyperlink>
        </w:p>
        <w:p w14:paraId="62314E72" w14:textId="0D431516" w:rsidR="007A4F90" w:rsidRDefault="007A4F90">
          <w:pPr>
            <w:pStyle w:val="TOC3"/>
            <w:tabs>
              <w:tab w:val="right" w:leader="dot" w:pos="10156"/>
            </w:tabs>
            <w:rPr>
              <w:rFonts w:asciiTheme="minorHAnsi" w:eastAsiaTheme="minorEastAsia" w:hAnsiTheme="minorHAnsi"/>
              <w:noProof/>
              <w:kern w:val="2"/>
              <w:sz w:val="24"/>
              <w:szCs w:val="24"/>
              <w:lang w:eastAsia="de-DE"/>
              <w14:ligatures w14:val="standardContextual"/>
            </w:rPr>
          </w:pPr>
          <w:hyperlink w:anchor="_Toc239163878" w:history="1">
            <w:r w:rsidRPr="00944666">
              <w:rPr>
                <w:rStyle w:val="Hyperlink"/>
                <w:rFonts w:ascii="Aptos Display" w:eastAsia="Aptos Display" w:hAnsi="Aptos Display"/>
                <w:noProof/>
              </w:rPr>
              <w:t>1.3 Reaktionsschritte</w:t>
            </w:r>
            <w:r>
              <w:rPr>
                <w:noProof/>
                <w:webHidden/>
              </w:rPr>
              <w:tab/>
            </w:r>
            <w:r>
              <w:rPr>
                <w:noProof/>
                <w:webHidden/>
              </w:rPr>
              <w:fldChar w:fldCharType="begin"/>
            </w:r>
            <w:r>
              <w:rPr>
                <w:noProof/>
                <w:webHidden/>
              </w:rPr>
              <w:instrText xml:space="preserve"> PAGEREF _Toc239163878 \h </w:instrText>
            </w:r>
            <w:r>
              <w:rPr>
                <w:noProof/>
                <w:webHidden/>
              </w:rPr>
            </w:r>
            <w:r>
              <w:rPr>
                <w:noProof/>
                <w:webHidden/>
              </w:rPr>
              <w:fldChar w:fldCharType="separate"/>
            </w:r>
            <w:r>
              <w:rPr>
                <w:noProof/>
                <w:webHidden/>
              </w:rPr>
              <w:t>3</w:t>
            </w:r>
            <w:r>
              <w:rPr>
                <w:noProof/>
                <w:webHidden/>
              </w:rPr>
              <w:fldChar w:fldCharType="end"/>
            </w:r>
          </w:hyperlink>
        </w:p>
        <w:p w14:paraId="189B6686" w14:textId="6AE68DE9" w:rsidR="007A4F90" w:rsidRDefault="007A4F90">
          <w:pPr>
            <w:pStyle w:val="TOC2"/>
            <w:tabs>
              <w:tab w:val="right" w:leader="dot" w:pos="10156"/>
            </w:tabs>
            <w:rPr>
              <w:rFonts w:asciiTheme="minorHAnsi" w:eastAsiaTheme="minorEastAsia" w:hAnsiTheme="minorHAnsi"/>
              <w:noProof/>
              <w:kern w:val="2"/>
              <w:sz w:val="24"/>
              <w:szCs w:val="24"/>
              <w:lang w:eastAsia="de-DE"/>
              <w14:ligatures w14:val="standardContextual"/>
            </w:rPr>
          </w:pPr>
          <w:hyperlink w:anchor="_Toc239163879" w:history="1">
            <w:r w:rsidRPr="00944666">
              <w:rPr>
                <w:rStyle w:val="Hyperlink"/>
                <w:rFonts w:ascii="Aptos Display" w:eastAsia="Aptos Display" w:hAnsi="Aptos Display"/>
                <w:noProof/>
              </w:rPr>
              <w:t>Anhang A: Ablaufdiagramm zur Reaktion auf Datenvorfälle</w:t>
            </w:r>
            <w:r>
              <w:rPr>
                <w:noProof/>
                <w:webHidden/>
              </w:rPr>
              <w:tab/>
            </w:r>
            <w:r>
              <w:rPr>
                <w:noProof/>
                <w:webHidden/>
              </w:rPr>
              <w:fldChar w:fldCharType="begin"/>
            </w:r>
            <w:r>
              <w:rPr>
                <w:noProof/>
                <w:webHidden/>
              </w:rPr>
              <w:instrText xml:space="preserve"> PAGEREF _Toc239163879 \h </w:instrText>
            </w:r>
            <w:r>
              <w:rPr>
                <w:noProof/>
                <w:webHidden/>
              </w:rPr>
            </w:r>
            <w:r>
              <w:rPr>
                <w:noProof/>
                <w:webHidden/>
              </w:rPr>
              <w:fldChar w:fldCharType="separate"/>
            </w:r>
            <w:r>
              <w:rPr>
                <w:noProof/>
                <w:webHidden/>
              </w:rPr>
              <w:t>5</w:t>
            </w:r>
            <w:r>
              <w:rPr>
                <w:noProof/>
                <w:webHidden/>
              </w:rPr>
              <w:fldChar w:fldCharType="end"/>
            </w:r>
          </w:hyperlink>
        </w:p>
        <w:p w14:paraId="2F5BD4A9" w14:textId="1CB8E6DE" w:rsidR="002637CE" w:rsidRPr="00D50A0C" w:rsidRDefault="002637CE">
          <w:r w:rsidRPr="00D50A0C">
            <w:rPr>
              <w:b/>
              <w:bCs/>
            </w:rPr>
            <w:fldChar w:fldCharType="end"/>
          </w:r>
        </w:p>
      </w:sdtContent>
    </w:sdt>
    <w:p w14:paraId="6023E1B8" w14:textId="77777777" w:rsidR="00987952" w:rsidRPr="00D50A0C" w:rsidRDefault="002B0562">
      <w:r w:rsidRPr="00D50A0C">
        <w:br w:type="page"/>
      </w:r>
    </w:p>
    <w:p w14:paraId="5B972689" w14:textId="77777777" w:rsidR="00987952" w:rsidRPr="00D50A0C" w:rsidRDefault="002B0562">
      <w:pPr>
        <w:spacing w:after="100" w:line="254" w:lineRule="auto"/>
      </w:pPr>
      <w:r w:rsidRPr="00D50A0C">
        <w:rPr>
          <w:b/>
          <w:sz w:val="28"/>
        </w:rPr>
        <w:lastRenderedPageBreak/>
        <w:t>Playbook zur Reaktion auf Datenvorfälle</w:t>
      </w:r>
    </w:p>
    <w:p w14:paraId="50AE35AD" w14:textId="292B740D" w:rsidR="00987952" w:rsidRPr="00D50A0C" w:rsidRDefault="00D50A0C">
      <w:pPr>
        <w:pStyle w:val="Heading3"/>
        <w:spacing w:before="160" w:after="80"/>
        <w:rPr>
          <w:color w:val="auto"/>
        </w:rPr>
      </w:pPr>
      <w:bookmarkStart w:id="0" w:name="_Toc239163876"/>
      <w:r w:rsidRPr="00D50A0C">
        <w:rPr>
          <w:rFonts w:ascii="Aptos Display" w:eastAsia="Aptos Display" w:hAnsi="Aptos Display"/>
          <w:color w:val="auto"/>
        </w:rPr>
        <w:t xml:space="preserve">1. </w:t>
      </w:r>
      <w:r w:rsidR="002B0562" w:rsidRPr="00D50A0C">
        <w:rPr>
          <w:rFonts w:ascii="Aptos Display" w:eastAsia="Aptos Display" w:hAnsi="Aptos Display"/>
          <w:color w:val="auto"/>
        </w:rPr>
        <w:t>Erkennung</w:t>
      </w:r>
      <w:bookmarkEnd w:id="0"/>
    </w:p>
    <w:p w14:paraId="464E1ADE" w14:textId="77777777" w:rsidR="00987952" w:rsidRPr="00D50A0C" w:rsidRDefault="002B0562">
      <w:pPr>
        <w:spacing w:after="100" w:line="254" w:lineRule="auto"/>
      </w:pPr>
      <w:r w:rsidRPr="00D50A0C">
        <w:t xml:space="preserve">Ein Datenvorfall liegt vor, wenn eine unbefugte Partei erfolgreich auf Daten aus Systemen von </w:t>
      </w:r>
      <w:r w:rsidRPr="00D50A0C">
        <w:rPr>
          <w:highlight w:val="yellow"/>
        </w:rPr>
        <w:t>[UNTERNEHMENSNAME]</w:t>
      </w:r>
      <w:r w:rsidRPr="00D50A0C">
        <w:t xml:space="preserve"> zugreift und/oder diese abruft, wobei diese Daten Folgendes umfassen: (a) personenbezogene Daten; (b) Daten, die </w:t>
      </w:r>
      <w:r w:rsidRPr="00D50A0C">
        <w:rPr>
          <w:highlight w:val="yellow"/>
        </w:rPr>
        <w:t>[UNTERNEHMENSNAME]</w:t>
      </w:r>
      <w:r w:rsidRPr="00D50A0C">
        <w:t xml:space="preserve"> gesetzlich oder vertraglich sicher aufzubewahren hat; oder (c) sonstige sensible Geschäfts- oder Kundendaten von </w:t>
      </w:r>
      <w:r w:rsidRPr="00D50A0C">
        <w:rPr>
          <w:highlight w:val="yellow"/>
        </w:rPr>
        <w:t>[UNTERNEHMENSNAME].</w:t>
      </w:r>
    </w:p>
    <w:p w14:paraId="3D699B81" w14:textId="77777777" w:rsidR="00987952" w:rsidRPr="00D50A0C" w:rsidRDefault="002B0562">
      <w:pPr>
        <w:spacing w:after="100" w:line="254" w:lineRule="auto"/>
      </w:pPr>
      <w:r w:rsidRPr="00D50A0C">
        <w:t>Datenvorfälle treten häufig als Teil eines größeren Cyber-Sicherheitsvorfalls auf. Die nachfolgend beschriebenen Schritte gelten zusätzlich zu allen Maßnahmen, die zur Behandlung des umfassenderen Vorfalls gemäß dem Plan zur Reaktion auf Cyber-Sicherheitsvorfälle und/oder anderen Playbooks erforderlich sind.</w:t>
      </w:r>
    </w:p>
    <w:p w14:paraId="177F6A13" w14:textId="7996088C" w:rsidR="00987952" w:rsidRPr="00D50A0C" w:rsidRDefault="00D50A0C">
      <w:pPr>
        <w:pStyle w:val="Heading3"/>
        <w:spacing w:before="160" w:after="80"/>
        <w:rPr>
          <w:color w:val="auto"/>
        </w:rPr>
      </w:pPr>
      <w:bookmarkStart w:id="1" w:name="_Toc239163877"/>
      <w:r w:rsidRPr="00D50A0C">
        <w:rPr>
          <w:rFonts w:ascii="Aptos Display" w:eastAsia="Aptos Display" w:hAnsi="Aptos Display"/>
          <w:color w:val="auto"/>
        </w:rPr>
        <w:t xml:space="preserve">1.2 </w:t>
      </w:r>
      <w:r w:rsidR="002B0562" w:rsidRPr="00D50A0C">
        <w:rPr>
          <w:rFonts w:ascii="Aptos Display" w:eastAsia="Aptos Display" w:hAnsi="Aptos Display"/>
          <w:color w:val="auto"/>
        </w:rPr>
        <w:t>Rollen und Verantwortlichkeiten</w:t>
      </w:r>
      <w:bookmarkEnd w:id="1"/>
    </w:p>
    <w:p w14:paraId="0E1515F3" w14:textId="77777777" w:rsidR="00987952" w:rsidRPr="00D50A0C" w:rsidRDefault="002B0562">
      <w:pPr>
        <w:pStyle w:val="ListBullet"/>
        <w:spacing w:after="40"/>
      </w:pPr>
      <w:r w:rsidRPr="00D50A0C">
        <w:rPr>
          <w:b/>
          <w:sz w:val="20"/>
        </w:rPr>
        <w:t>Cyber Security Incident Response Team (CSIRT):</w:t>
      </w:r>
      <w:r w:rsidRPr="00D50A0C">
        <w:rPr>
          <w:sz w:val="20"/>
        </w:rPr>
        <w:t xml:space="preserve"> Rollen und Verantwortlichkeiten sind in Abschnitt 3 des Plans zur Reaktion auf Cyber-Sicherheitsvorfälle definiert.</w:t>
      </w:r>
    </w:p>
    <w:p w14:paraId="59F7C3D9" w14:textId="77777777" w:rsidR="00987952" w:rsidRPr="00D50A0C" w:rsidRDefault="002B0562">
      <w:pPr>
        <w:pStyle w:val="ListBullet"/>
        <w:spacing w:after="40"/>
      </w:pPr>
      <w:r w:rsidRPr="00D50A0C">
        <w:rPr>
          <w:sz w:val="20"/>
        </w:rPr>
        <w:t xml:space="preserve">Datenvorfälle sollten gemäß dem Plan zur Reaktion auf Cyber-Sicherheitsvorfälle der Organisation an das </w:t>
      </w:r>
      <w:r w:rsidRPr="00D50A0C">
        <w:rPr>
          <w:sz w:val="20"/>
          <w:highlight w:val="yellow"/>
        </w:rPr>
        <w:t>[Management Team]</w:t>
      </w:r>
      <w:r w:rsidRPr="00D50A0C">
        <w:rPr>
          <w:sz w:val="20"/>
        </w:rPr>
        <w:t xml:space="preserve"> eskaliert werden.</w:t>
      </w:r>
    </w:p>
    <w:p w14:paraId="11213AFF" w14:textId="77777777" w:rsidR="00987952" w:rsidRPr="00D50A0C" w:rsidRDefault="002B0562">
      <w:pPr>
        <w:pStyle w:val="ListBullet"/>
        <w:spacing w:after="40"/>
      </w:pPr>
      <w:r w:rsidRPr="00D50A0C">
        <w:rPr>
          <w:sz w:val="20"/>
          <w:highlight w:val="yellow"/>
        </w:rPr>
        <w:t>[ZUSTÄNDIGE RECHTS- UND DATENSCHUTZFUNKTION] und</w:t>
      </w:r>
      <w:r w:rsidRPr="00D50A0C">
        <w:rPr>
          <w:sz w:val="20"/>
        </w:rPr>
        <w:t>/oder externe Rechtsberatung sollten bei Bedarf in den Incident-Response-Prozess eingebunden werden, um rechtliche und regulatorische Themen zu unterstützen.</w:t>
      </w:r>
    </w:p>
    <w:p w14:paraId="42E0EFF9" w14:textId="0230C8C9" w:rsidR="00987952" w:rsidRPr="00D50A0C" w:rsidRDefault="000E37BA">
      <w:pPr>
        <w:pStyle w:val="Heading3"/>
        <w:spacing w:before="160" w:after="80"/>
        <w:rPr>
          <w:color w:val="auto"/>
        </w:rPr>
      </w:pPr>
      <w:bookmarkStart w:id="2" w:name="_Toc239163878"/>
      <w:r>
        <w:rPr>
          <w:rFonts w:ascii="Aptos Display" w:eastAsia="Aptos Display" w:hAnsi="Aptos Display"/>
          <w:color w:val="auto"/>
        </w:rPr>
        <w:t xml:space="preserve">1.3 </w:t>
      </w:r>
      <w:r w:rsidR="002B0562" w:rsidRPr="00D50A0C">
        <w:rPr>
          <w:rFonts w:ascii="Aptos Display" w:eastAsia="Aptos Display" w:hAnsi="Aptos Display"/>
          <w:color w:val="auto"/>
        </w:rPr>
        <w:t>Reaktionsschritte</w:t>
      </w:r>
      <w:bookmarkEnd w:id="2"/>
    </w:p>
    <w:p w14:paraId="4A630B28" w14:textId="77777777" w:rsidR="00987952" w:rsidRPr="00D50A0C" w:rsidRDefault="002B0562">
      <w:pPr>
        <w:spacing w:after="100" w:line="254" w:lineRule="auto"/>
      </w:pPr>
      <w:r w:rsidRPr="00D50A0C">
        <w:t>Ein Ablaufdiagramm mit zusätzlichen Leitlinien ist am Ende dieses Playbooks enthalten.</w:t>
      </w:r>
    </w:p>
    <w:p w14:paraId="54AFE65B" w14:textId="77777777" w:rsidR="00987952" w:rsidRPr="00D50A0C" w:rsidRDefault="002B0562">
      <w:pPr>
        <w:spacing w:before="100" w:after="40" w:line="254" w:lineRule="auto"/>
      </w:pPr>
      <w:r w:rsidRPr="00D50A0C">
        <w:rPr>
          <w:b/>
        </w:rPr>
        <w:t>Erste Eindämmung</w:t>
      </w:r>
    </w:p>
    <w:p w14:paraId="7B250F51" w14:textId="77777777" w:rsidR="00987952" w:rsidRPr="00D50A0C" w:rsidRDefault="002B0562">
      <w:pPr>
        <w:spacing w:after="100" w:line="254" w:lineRule="auto"/>
      </w:pPr>
      <w:r w:rsidRPr="00D50A0C">
        <w:t>Die Eindämmung sollte entsprechend der Art des Cyber-Sicherheitsvorfalls erfolgen. Vorrangig ist jeder weitere unbefugte Zugriff, Datenverlust oder Datentransfer zu verhindern. Netzwerk- oder Benutzerzugriffe sollten deaktiviert werden, sofern dies erforderlich ist, um dieses Ziel zu erreichen.</w:t>
      </w:r>
    </w:p>
    <w:p w14:paraId="57C98398" w14:textId="77777777" w:rsidR="00987952" w:rsidRPr="00D50A0C" w:rsidRDefault="002B0562">
      <w:pPr>
        <w:spacing w:before="100" w:after="40" w:line="254" w:lineRule="auto"/>
      </w:pPr>
      <w:r w:rsidRPr="00D50A0C">
        <w:rPr>
          <w:b/>
        </w:rPr>
        <w:t>Eskalation</w:t>
      </w:r>
    </w:p>
    <w:p w14:paraId="68CA5115" w14:textId="77777777" w:rsidR="00987952" w:rsidRPr="00D50A0C" w:rsidRDefault="002B0562">
      <w:pPr>
        <w:spacing w:after="100" w:line="254" w:lineRule="auto"/>
      </w:pPr>
      <w:r w:rsidRPr="00D50A0C">
        <w:t xml:space="preserve">Der Vorfall sollte gemäß Abschnitt 4.2 und Abschnitt 4.3 des Plans zur Reaktion auf Cyber-Sicherheitsvorfälle triagiert und eskaliert werden. </w:t>
      </w:r>
      <w:r w:rsidRPr="00D50A0C">
        <w:t>Zusätzlich gilt:</w:t>
      </w:r>
    </w:p>
    <w:p w14:paraId="34957DED" w14:textId="77777777" w:rsidR="00987952" w:rsidRPr="00D50A0C" w:rsidRDefault="002B0562">
      <w:pPr>
        <w:pStyle w:val="ListBullet"/>
        <w:spacing w:after="40"/>
      </w:pPr>
      <w:r w:rsidRPr="00D50A0C">
        <w:rPr>
          <w:sz w:val="20"/>
        </w:rPr>
        <w:t>Wenn ein Vorfall mit personenbezogenen Daten oder anderen sensiblen Daten erkannt wird, sollte der General Counsel so schnell wie möglich informiert werden.</w:t>
      </w:r>
    </w:p>
    <w:p w14:paraId="660CCB21" w14:textId="77777777" w:rsidR="00987952" w:rsidRPr="00D50A0C" w:rsidRDefault="002B0562">
      <w:pPr>
        <w:pStyle w:val="ListBullet"/>
        <w:spacing w:after="40"/>
      </w:pPr>
      <w:r w:rsidRPr="00D50A0C">
        <w:rPr>
          <w:sz w:val="20"/>
        </w:rPr>
        <w:t>Wenn externe Rechtsberatung die Reaktion auf den Vorfall unterstützt, sollte diese zusammen mit den oben genannten Parteien ebenfalls über jeden Datenvorfall informiert werden.</w:t>
      </w:r>
    </w:p>
    <w:p w14:paraId="13D9AF9F" w14:textId="77777777" w:rsidR="00987952" w:rsidRPr="00D50A0C" w:rsidRDefault="002B0562">
      <w:pPr>
        <w:pStyle w:val="ListBullet"/>
        <w:spacing w:after="40"/>
      </w:pPr>
      <w:r w:rsidRPr="00D50A0C">
        <w:rPr>
          <w:sz w:val="20"/>
        </w:rPr>
        <w:t>Wenn keine externe Rechtsberatung eingebunden ist, sollte das Management Team entscheiden, ob zusätzliche rechtliche Unterstützung in Bezug auf den Datenvorfall erforderlich ist.</w:t>
      </w:r>
    </w:p>
    <w:p w14:paraId="21331931" w14:textId="77777777" w:rsidR="00987952" w:rsidRPr="00D50A0C" w:rsidRDefault="002B0562">
      <w:pPr>
        <w:spacing w:before="100" w:after="40" w:line="254" w:lineRule="auto"/>
      </w:pPr>
      <w:r w:rsidRPr="00D50A0C">
        <w:rPr>
          <w:b/>
        </w:rPr>
        <w:t>Beweissicherung</w:t>
      </w:r>
    </w:p>
    <w:p w14:paraId="405A29A5" w14:textId="77777777" w:rsidR="00987952" w:rsidRPr="00D50A0C" w:rsidRDefault="002B0562">
      <w:pPr>
        <w:spacing w:after="100" w:line="254" w:lineRule="auto"/>
      </w:pPr>
      <w:r w:rsidRPr="00D50A0C">
        <w:t>Die Beweissicherung hängt von der Art des Vorfalls ab.</w:t>
      </w:r>
    </w:p>
    <w:p w14:paraId="5DFC654C" w14:textId="77777777" w:rsidR="00987952" w:rsidRPr="00D50A0C" w:rsidRDefault="002B0562">
      <w:pPr>
        <w:spacing w:after="100" w:line="254" w:lineRule="auto"/>
      </w:pPr>
      <w:r w:rsidRPr="00D50A0C">
        <w:t>Zusätzliche Beweissicherung zur Unterstützung regulatorischer Meldungen und zum Verständnis potenzieller rechtlicher Haftung kann durch den General Counsel oder die externe Rechtsberatung erforderlich sein oder empfohlen werden:</w:t>
      </w:r>
    </w:p>
    <w:p w14:paraId="36C703F4" w14:textId="77777777" w:rsidR="00987952" w:rsidRPr="00D50A0C" w:rsidRDefault="002B0562">
      <w:pPr>
        <w:pStyle w:val="ListBullet"/>
        <w:spacing w:after="40"/>
      </w:pPr>
      <w:r w:rsidRPr="00D50A0C">
        <w:rPr>
          <w:sz w:val="20"/>
        </w:rPr>
        <w:t>Beweise sollten in einer angemessen forensisch belastbaren Weise erfasst und aufbewahrt werden, mit Unterstützung eines externen Cyber-Response-Dienstleisters und unter Beratung externer Rechtsberatung, sofern erforderlich.</w:t>
      </w:r>
    </w:p>
    <w:p w14:paraId="0BEF7E56" w14:textId="77777777" w:rsidR="00987952" w:rsidRPr="00D50A0C" w:rsidRDefault="002B0562">
      <w:pPr>
        <w:pStyle w:val="ListBullet"/>
        <w:spacing w:after="40"/>
      </w:pPr>
      <w:r w:rsidRPr="00D50A0C">
        <w:rPr>
          <w:sz w:val="20"/>
        </w:rPr>
        <w:t>Wenn Beweissicherung gegen andere Prioritäten abgewogen werden muss, sollte der General Counsel oder die externe Rechtsberatung, soweit angemessen, einbezogen werden, um eine informierte Entscheidung sicherzustellen.</w:t>
      </w:r>
    </w:p>
    <w:p w14:paraId="0349ADC3" w14:textId="77777777" w:rsidR="00BE2759" w:rsidRPr="00D50A0C" w:rsidRDefault="00BE2759" w:rsidP="00BE2759">
      <w:pPr>
        <w:pStyle w:val="ListBullet"/>
        <w:numPr>
          <w:ilvl w:val="0"/>
          <w:numId w:val="0"/>
        </w:numPr>
        <w:spacing w:after="40"/>
        <w:ind w:left="360"/>
      </w:pPr>
    </w:p>
    <w:p w14:paraId="7DCE62C9" w14:textId="77777777" w:rsidR="00987952" w:rsidRPr="00D50A0C" w:rsidRDefault="002B0562">
      <w:pPr>
        <w:spacing w:before="100" w:after="40" w:line="254" w:lineRule="auto"/>
      </w:pPr>
      <w:r w:rsidRPr="00D50A0C">
        <w:rPr>
          <w:b/>
        </w:rPr>
        <w:lastRenderedPageBreak/>
        <w:t>Analyse</w:t>
      </w:r>
    </w:p>
    <w:p w14:paraId="71B0A60A" w14:textId="77777777" w:rsidR="00987952" w:rsidRPr="00D50A0C" w:rsidRDefault="002B0562">
      <w:pPr>
        <w:spacing w:after="100" w:line="254" w:lineRule="auto"/>
      </w:pPr>
      <w:r w:rsidRPr="00D50A0C">
        <w:t>Der General Counsel bewertet, sofern angemessen unterstützt durch externe Rechtsberatung, den Umfang eines Datenvorfalls sowie die Relevanz vertraglicher, regulatorischer oder sonstiger Meldepflichten auf Grundlage der verfügbaren Beweise.</w:t>
      </w:r>
    </w:p>
    <w:p w14:paraId="20DEB290" w14:textId="77777777" w:rsidR="00987952" w:rsidRPr="00D50A0C" w:rsidRDefault="002B0562">
      <w:pPr>
        <w:spacing w:after="100" w:line="254" w:lineRule="auto"/>
      </w:pPr>
      <w:r w:rsidRPr="00D50A0C">
        <w:t>Zusätzliche Analysen technischer Beweise, einschließlich beispielsweise eDiscovery-Untersuchungen zur Identifizierung betroffener personenbezogener Daten, können erforderlich sein, um diese Bewertung zu unterstützen. Diese Analysen sollten durch ein geeignetes Team oder eine geeignete Organisation durchgeführt werden, gegebenenfalls durch externe Unterstützung.</w:t>
      </w:r>
    </w:p>
    <w:p w14:paraId="1A750B91" w14:textId="77777777" w:rsidR="00987952" w:rsidRPr="00D50A0C" w:rsidRDefault="002B0562">
      <w:pPr>
        <w:spacing w:before="100" w:after="40" w:line="254" w:lineRule="auto"/>
      </w:pPr>
      <w:r w:rsidRPr="00D50A0C">
        <w:rPr>
          <w:b/>
        </w:rPr>
        <w:t>Reporting und Kommunikation</w:t>
      </w:r>
    </w:p>
    <w:p w14:paraId="17497792" w14:textId="77777777" w:rsidR="00987952" w:rsidRPr="00D50A0C" w:rsidRDefault="002B0562">
      <w:pPr>
        <w:spacing w:after="100" w:line="254" w:lineRule="auto"/>
      </w:pPr>
      <w:r w:rsidRPr="00D50A0C">
        <w:t>Der General Counsel sollte, sofern angemessen unterstützt durch externe Rechtsberatung, alle Meldepflichten oder sonstigen Maßnahmen identifizieren, die sich aus dem Datenvorfall ergeben.</w:t>
      </w:r>
    </w:p>
    <w:p w14:paraId="787CD0DC" w14:textId="77777777" w:rsidR="00987952" w:rsidRPr="00D50A0C" w:rsidRDefault="002B0562">
      <w:pPr>
        <w:pStyle w:val="ListBullet"/>
        <w:spacing w:after="40"/>
      </w:pPr>
      <w:r w:rsidRPr="00D50A0C">
        <w:rPr>
          <w:sz w:val="20"/>
        </w:rPr>
        <w:t xml:space="preserve">Wenn ein Vorfall mit personenbezogenen Daten eingetreten ist, wird der General Counsel, sofern angemessen unterstützt durch externe Rechtsberatung und nach Abstimmung mit dem </w:t>
      </w:r>
      <w:r w:rsidRPr="00D50A0C">
        <w:rPr>
          <w:sz w:val="20"/>
          <w:highlight w:val="yellow"/>
        </w:rPr>
        <w:t>[Management Team]</w:t>
      </w:r>
      <w:r w:rsidRPr="00D50A0C">
        <w:rPr>
          <w:sz w:val="20"/>
        </w:rPr>
        <w:t xml:space="preserve"> sowie erforderlicher Freigabe durch das Management, geeignete Erklärungen und Meldungen an alle zuständigen Aufsichtsbehörden abgeben.</w:t>
      </w:r>
    </w:p>
    <w:p w14:paraId="67658A4C" w14:textId="77777777" w:rsidR="00987952" w:rsidRPr="00D50A0C" w:rsidRDefault="002B0562">
      <w:pPr>
        <w:pStyle w:val="ListBullet"/>
        <w:spacing w:after="40"/>
      </w:pPr>
      <w:r w:rsidRPr="00D50A0C">
        <w:rPr>
          <w:sz w:val="20"/>
        </w:rPr>
        <w:t>Diese Teammitglieder legen im Verlauf der Reaktion außerdem fest, welche zusätzlichen Offenlegungen gegenüber betroffenen Personen, Data Ownern und anderen betroffenen Parteien erforderlich oder angemessen sind.</w:t>
      </w:r>
    </w:p>
    <w:p w14:paraId="3D77618C" w14:textId="77777777" w:rsidR="00987952" w:rsidRPr="00D50A0C" w:rsidRDefault="002B0562">
      <w:pPr>
        <w:pStyle w:val="ListBullet"/>
        <w:spacing w:after="40"/>
      </w:pPr>
      <w:r w:rsidRPr="00D50A0C">
        <w:rPr>
          <w:sz w:val="20"/>
        </w:rPr>
        <w:t>Offenlegung oder Kommunikation gegenüber Öffentlichkeit, Medien, Strafverfolgungsbehörden oder anderen Dritten kann ebenfalls erforderlich oder angemessen sein. Art, Inhalt und Kommunikationsweg einer solchen Offenlegung sollten vor jeder Kommunikation durch das Management vereinbart werden, unterstützt durch externe Rechtsberatung oder andere geeignete Spezialisten, sofern erforderlich. Erforderliche Freigaben und/oder Unterstützung beim Versand von Kommunikation über geeignete Kanäle sollten bei Bedarf vo</w:t>
      </w:r>
      <w:r w:rsidRPr="00D50A0C">
        <w:rPr>
          <w:sz w:val="20"/>
        </w:rPr>
        <w:t xml:space="preserve">n anderen Mitarbeitenden von </w:t>
      </w:r>
      <w:r w:rsidRPr="00D50A0C">
        <w:rPr>
          <w:sz w:val="20"/>
          <w:highlight w:val="yellow"/>
        </w:rPr>
        <w:t>[UNTERNEHMENSNAME]</w:t>
      </w:r>
      <w:r w:rsidRPr="00D50A0C">
        <w:rPr>
          <w:sz w:val="20"/>
        </w:rPr>
        <w:t xml:space="preserve"> eingeholt werden.</w:t>
      </w:r>
    </w:p>
    <w:p w14:paraId="27E60CD4" w14:textId="77777777" w:rsidR="00987952" w:rsidRPr="00D50A0C" w:rsidRDefault="002B0562">
      <w:pPr>
        <w:spacing w:before="100" w:after="40" w:line="254" w:lineRule="auto"/>
      </w:pPr>
      <w:r w:rsidRPr="00D50A0C">
        <w:rPr>
          <w:b/>
        </w:rPr>
        <w:t>Nachbereitung des Vorfalls</w:t>
      </w:r>
    </w:p>
    <w:p w14:paraId="3F86FA1B" w14:textId="77777777" w:rsidR="00987952" w:rsidRPr="00D50A0C" w:rsidRDefault="002B0562">
      <w:pPr>
        <w:spacing w:after="100" w:line="254" w:lineRule="auto"/>
      </w:pPr>
      <w:r w:rsidRPr="00D50A0C">
        <w:t>Für Vorfälle, die als P1 bis P3 klassifiziert sind, oder wenn dies aus rechtlichen Gründen als ratsam angesehen wird, sollte eine Nachbereitung des Vorfalls gemäß Abschnitt 4.7 des Plans zur Reaktion auf Cyber-Sicherheitsvorfälle durchgeführt werden.</w:t>
      </w:r>
    </w:p>
    <w:p w14:paraId="3835B686" w14:textId="77777777" w:rsidR="00987952" w:rsidRPr="00D50A0C" w:rsidRDefault="002B0562">
      <w:pPr>
        <w:spacing w:after="100" w:line="254" w:lineRule="auto"/>
      </w:pPr>
      <w:r w:rsidRPr="00D50A0C">
        <w:t>Die Ursache, Auswirkungen und Lessons Learned in Bezug auf jeden Datenvorfall sollten im Rahmen dieses Prozesses berücksichtigt und in den relevanten Abschnitten eines Cyber Security Incident Report Form dokumentiert werden.</w:t>
      </w:r>
    </w:p>
    <w:p w14:paraId="7FA80EEA" w14:textId="77777777" w:rsidR="00987952" w:rsidRPr="00D50A0C" w:rsidRDefault="002B0562">
      <w:r w:rsidRPr="00D50A0C">
        <w:br w:type="page"/>
      </w:r>
    </w:p>
    <w:p w14:paraId="6D5117D9" w14:textId="4E7B61F8" w:rsidR="00987952" w:rsidRPr="00D50A0C" w:rsidRDefault="002B0562">
      <w:pPr>
        <w:pStyle w:val="Heading2"/>
        <w:spacing w:before="160" w:after="80"/>
        <w:rPr>
          <w:color w:val="auto"/>
        </w:rPr>
      </w:pPr>
      <w:bookmarkStart w:id="3" w:name="_Toc239163879"/>
      <w:r w:rsidRPr="00D50A0C">
        <w:rPr>
          <w:rFonts w:ascii="Aptos Display" w:eastAsia="Aptos Display" w:hAnsi="Aptos Display"/>
          <w:color w:val="auto"/>
        </w:rPr>
        <w:lastRenderedPageBreak/>
        <w:t>Anhang A: Ablaufdiagramm zur Reaktion auf Datenvorfälle</w:t>
      </w:r>
      <w:bookmarkEnd w:id="3"/>
    </w:p>
    <w:p w14:paraId="5B0CCEF3" w14:textId="6AEA5636" w:rsidR="00987952" w:rsidRPr="00D50A0C" w:rsidRDefault="002B0562">
      <w:pPr>
        <w:spacing w:after="100" w:line="254" w:lineRule="auto"/>
      </w:pPr>
      <w:r w:rsidRPr="00D50A0C">
        <w:t>Das nachstehende Ablaufdiagramm stellt die wesentlichen Entscheidungspunkte und Reaktionsschritte bei einem Datenvorfall dar</w:t>
      </w:r>
      <w:r w:rsidR="00CC5157">
        <w:t>:</w:t>
      </w:r>
    </w:p>
    <w:p w14:paraId="35454EB3" w14:textId="3AFA397F" w:rsidR="00505163" w:rsidRPr="002637CE" w:rsidRDefault="00695AA0" w:rsidP="00695AA0">
      <w:r w:rsidRPr="00695AA0">
        <w:drawing>
          <wp:anchor distT="0" distB="0" distL="114300" distR="114300" simplePos="0" relativeHeight="251658240" behindDoc="1" locked="0" layoutInCell="1" allowOverlap="1" wp14:anchorId="48508CA3" wp14:editId="2A0C904E">
            <wp:simplePos x="0" y="0"/>
            <wp:positionH relativeFrom="column">
              <wp:posOffset>551180</wp:posOffset>
            </wp:positionH>
            <wp:positionV relativeFrom="paragraph">
              <wp:posOffset>114935</wp:posOffset>
            </wp:positionV>
            <wp:extent cx="5226050" cy="7839075"/>
            <wp:effectExtent l="0" t="0" r="0" b="9525"/>
            <wp:wrapNone/>
            <wp:docPr id="146725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54976" name=""/>
                    <pic:cNvPicPr/>
                  </pic:nvPicPr>
                  <pic:blipFill>
                    <a:blip r:embed="rId8"/>
                    <a:stretch>
                      <a:fillRect/>
                    </a:stretch>
                  </pic:blipFill>
                  <pic:spPr>
                    <a:xfrm>
                      <a:off x="0" y="0"/>
                      <a:ext cx="5226050" cy="7839075"/>
                    </a:xfrm>
                    <a:prstGeom prst="rect">
                      <a:avLst/>
                    </a:prstGeom>
                  </pic:spPr>
                </pic:pic>
              </a:graphicData>
            </a:graphic>
            <wp14:sizeRelH relativeFrom="margin">
              <wp14:pctWidth>0</wp14:pctWidth>
            </wp14:sizeRelH>
            <wp14:sizeRelV relativeFrom="margin">
              <wp14:pctHeight>0</wp14:pctHeight>
            </wp14:sizeRelV>
          </wp:anchor>
        </w:drawing>
      </w:r>
    </w:p>
    <w:sectPr w:rsidR="00505163" w:rsidRPr="002637CE" w:rsidSect="00034616">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C1BA5" w14:textId="77777777" w:rsidR="002B0562" w:rsidRDefault="002B0562" w:rsidP="00B82400">
      <w:pPr>
        <w:spacing w:after="0" w:line="240" w:lineRule="auto"/>
      </w:pPr>
      <w:r>
        <w:separator/>
      </w:r>
    </w:p>
  </w:endnote>
  <w:endnote w:type="continuationSeparator" w:id="0">
    <w:p w14:paraId="3C84E3DE" w14:textId="77777777" w:rsidR="002B0562" w:rsidRDefault="002B0562" w:rsidP="00B82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D4AF2" w14:textId="0D771D49" w:rsidR="00B82400" w:rsidRPr="00B82400" w:rsidRDefault="00B82400">
    <w:pPr>
      <w:pStyle w:val="Footer"/>
      <w:rPr>
        <w:i/>
        <w:iCs/>
        <w:sz w:val="12"/>
        <w:szCs w:val="12"/>
      </w:rPr>
    </w:pPr>
    <w:r w:rsidRPr="00A47FDA">
      <w:rPr>
        <w:i/>
        <w:iCs/>
        <w:sz w:val="12"/>
        <w:szCs w:val="12"/>
      </w:rPr>
      <w:t>Die beispielhaften Cyber-Governance-Vorlagen dienen ausschließlich als Orientierungshilfe. Sie wurden nicht auf Basis Ihrer konkreten Systeme und Risiken erstellt und decken daher nicht alle möglichen Szenarien oder erforderlichen Maßnahmen im Zusammenhang mit einem Cybersicherheitsvorfall ab.</w:t>
    </w:r>
    <w:r>
      <w:rPr>
        <w:i/>
        <w:iCs/>
        <w:sz w:val="12"/>
        <w:szCs w:val="12"/>
      </w:rPr>
      <w:t xml:space="preserve"> </w:t>
    </w:r>
    <w:r w:rsidRPr="00A47FDA">
      <w:rPr>
        <w:i/>
        <w:iCs/>
        <w:sz w:val="12"/>
        <w:szCs w:val="12"/>
      </w:rPr>
      <w:t>Die Verantwortung für die Bewertung und Implementierung geeigneter Notfall- und Reaktionsprozesse liegt beim Unternehmen. Die Vorlagen ersetzen weder die Beratung durch Rechtsanwälte noch die Unterstützung durch Cybersicherheitsexperten.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B7E94" w14:textId="77777777" w:rsidR="002B0562" w:rsidRDefault="002B0562" w:rsidP="00B82400">
      <w:pPr>
        <w:spacing w:after="0" w:line="240" w:lineRule="auto"/>
      </w:pPr>
      <w:r>
        <w:separator/>
      </w:r>
    </w:p>
  </w:footnote>
  <w:footnote w:type="continuationSeparator" w:id="0">
    <w:p w14:paraId="773A7FB1" w14:textId="77777777" w:rsidR="002B0562" w:rsidRDefault="002B0562" w:rsidP="00B82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8740527">
    <w:abstractNumId w:val="8"/>
  </w:num>
  <w:num w:numId="2" w16cid:durableId="1202330405">
    <w:abstractNumId w:val="6"/>
  </w:num>
  <w:num w:numId="3" w16cid:durableId="810253220">
    <w:abstractNumId w:val="5"/>
  </w:num>
  <w:num w:numId="4" w16cid:durableId="967780172">
    <w:abstractNumId w:val="4"/>
  </w:num>
  <w:num w:numId="5" w16cid:durableId="5595549">
    <w:abstractNumId w:val="7"/>
  </w:num>
  <w:num w:numId="6" w16cid:durableId="752704427">
    <w:abstractNumId w:val="3"/>
  </w:num>
  <w:num w:numId="7" w16cid:durableId="1970354222">
    <w:abstractNumId w:val="2"/>
  </w:num>
  <w:num w:numId="8" w16cid:durableId="1860464405">
    <w:abstractNumId w:val="1"/>
  </w:num>
  <w:num w:numId="9" w16cid:durableId="112288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37BA"/>
    <w:rsid w:val="0015074B"/>
    <w:rsid w:val="002637CE"/>
    <w:rsid w:val="0029639D"/>
    <w:rsid w:val="002B0562"/>
    <w:rsid w:val="00326F90"/>
    <w:rsid w:val="0042773F"/>
    <w:rsid w:val="00505163"/>
    <w:rsid w:val="006305F3"/>
    <w:rsid w:val="006917DB"/>
    <w:rsid w:val="00695AA0"/>
    <w:rsid w:val="00752DCC"/>
    <w:rsid w:val="007A4F90"/>
    <w:rsid w:val="00901F8A"/>
    <w:rsid w:val="00987952"/>
    <w:rsid w:val="00AA1D8D"/>
    <w:rsid w:val="00B47730"/>
    <w:rsid w:val="00B82400"/>
    <w:rsid w:val="00BE2759"/>
    <w:rsid w:val="00C27FC0"/>
    <w:rsid w:val="00C56D71"/>
    <w:rsid w:val="00CB0664"/>
    <w:rsid w:val="00CC5157"/>
    <w:rsid w:val="00D50A0C"/>
    <w:rsid w:val="00DA7AE7"/>
    <w:rsid w:val="00E455E1"/>
    <w:rsid w:val="00F57D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655A95F-5F2E-4BCB-B4DF-EB78133E8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lang w:val="de-D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3">
    <w:name w:val="toc 3"/>
    <w:basedOn w:val="Normal"/>
    <w:next w:val="Normal"/>
    <w:autoRedefine/>
    <w:uiPriority w:val="39"/>
    <w:unhideWhenUsed/>
    <w:rsid w:val="002637CE"/>
    <w:pPr>
      <w:spacing w:after="100"/>
      <w:ind w:left="420"/>
    </w:pPr>
  </w:style>
  <w:style w:type="paragraph" w:styleId="TOC2">
    <w:name w:val="toc 2"/>
    <w:basedOn w:val="Normal"/>
    <w:next w:val="Normal"/>
    <w:autoRedefine/>
    <w:uiPriority w:val="39"/>
    <w:unhideWhenUsed/>
    <w:rsid w:val="002637CE"/>
    <w:pPr>
      <w:spacing w:after="100"/>
      <w:ind w:left="210"/>
    </w:pPr>
  </w:style>
  <w:style w:type="character" w:styleId="Hyperlink">
    <w:name w:val="Hyperlink"/>
    <w:basedOn w:val="DefaultParagraphFont"/>
    <w:uiPriority w:val="99"/>
    <w:unhideWhenUsed/>
    <w:rsid w:val="002637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a2c4c6c-778f-4a71-abb2-982986745419}" enabled="1" method="Standard" siteId="{ce56fae6-055d-4c9f-b6c9-9d341506a491}"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748</Words>
  <Characters>5721</Characters>
  <Application>Microsoft Office Word</Application>
  <DocSecurity>0</DocSecurity>
  <Lines>150</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Playbook zur Reaktion auf Datenvorfälle</dc:title>
  <dc:subject>Cyber Governance Vorlage</dc:subject>
  <dc:creator>Insaf Idelhaj</dc:creator>
  <cp:keywords/>
  <dc:description>generated by python-docx</dc:description>
  <cp:lastModifiedBy>Jan Rott</cp:lastModifiedBy>
  <cp:revision>15</cp:revision>
  <dcterms:created xsi:type="dcterms:W3CDTF">2026-09-01T11:52:00Z</dcterms:created>
  <dcterms:modified xsi:type="dcterms:W3CDTF">2026-09-01T12:04:00Z</dcterms:modified>
  <cp:category/>
  <dc:language>de-DE</dc:language>
</cp:coreProperties>
</file>