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8473B" w14:textId="14410A93" w:rsidR="0038404F" w:rsidRDefault="0038404F"/>
    <w:p w14:paraId="6D417F6B" w14:textId="77777777" w:rsidR="0038404F" w:rsidRPr="009409C5" w:rsidRDefault="00E61F6A" w:rsidP="009409C5">
      <w:pPr>
        <w:spacing w:after="100" w:line="254" w:lineRule="auto"/>
        <w:jc w:val="center"/>
        <w:rPr>
          <w:lang w:val="de-DE"/>
        </w:rPr>
      </w:pPr>
      <w:r w:rsidRPr="009409C5">
        <w:rPr>
          <w:b/>
          <w:sz w:val="24"/>
          <w:highlight w:val="yellow"/>
          <w:lang w:val="de-DE"/>
        </w:rPr>
        <w:t>[UNTERNEHMENSNAME]</w:t>
      </w:r>
    </w:p>
    <w:p w14:paraId="04C215AC" w14:textId="77777777" w:rsidR="0038404F" w:rsidRPr="009409C5" w:rsidRDefault="00E61F6A" w:rsidP="009409C5">
      <w:pPr>
        <w:spacing w:after="100" w:line="254" w:lineRule="auto"/>
        <w:jc w:val="center"/>
        <w:rPr>
          <w:lang w:val="de-DE"/>
        </w:rPr>
      </w:pPr>
      <w:r w:rsidRPr="009409C5">
        <w:rPr>
          <w:b/>
          <w:sz w:val="28"/>
          <w:lang w:val="de-DE"/>
        </w:rPr>
        <w:t>Playbook zur Reaktion auf Malware</w:t>
      </w:r>
    </w:p>
    <w:p w14:paraId="24C62D3F" w14:textId="5BCC5948" w:rsidR="0038404F" w:rsidRDefault="00E61F6A" w:rsidP="009409C5">
      <w:pPr>
        <w:spacing w:after="100" w:line="254" w:lineRule="auto"/>
        <w:jc w:val="center"/>
        <w:rPr>
          <w:b/>
          <w:color w:val="3D403D"/>
          <w:lang w:val="de-DE"/>
        </w:rPr>
      </w:pPr>
      <w:r w:rsidRPr="009409C5">
        <w:rPr>
          <w:b/>
          <w:color w:val="3D403D"/>
          <w:lang w:val="de-DE"/>
        </w:rPr>
        <w:t>Geschäftlich</w:t>
      </w:r>
      <w:r w:rsidR="009748A1">
        <w:rPr>
          <w:b/>
          <w:color w:val="3D403D"/>
          <w:lang w:val="de-DE"/>
        </w:rPr>
        <w:t>/V</w:t>
      </w:r>
      <w:r w:rsidRPr="009409C5">
        <w:rPr>
          <w:b/>
          <w:color w:val="3D403D"/>
          <w:lang w:val="de-DE"/>
        </w:rPr>
        <w:t>ertraulich</w:t>
      </w:r>
      <w:r w:rsidR="009748A1">
        <w:rPr>
          <w:b/>
          <w:color w:val="3D403D"/>
          <w:lang w:val="de-DE"/>
        </w:rPr>
        <w:t xml:space="preserve"> - </w:t>
      </w:r>
      <w:r w:rsidRPr="009409C5">
        <w:rPr>
          <w:b/>
          <w:color w:val="3D403D"/>
          <w:lang w:val="de-DE"/>
        </w:rPr>
        <w:t>Nicht zur Weitergabe bestimmt</w:t>
      </w:r>
    </w:p>
    <w:p w14:paraId="01EBDD9E" w14:textId="77777777" w:rsidR="009409C5" w:rsidRDefault="009409C5" w:rsidP="009409C5">
      <w:pPr>
        <w:spacing w:after="100" w:line="254" w:lineRule="auto"/>
        <w:jc w:val="center"/>
        <w:rPr>
          <w:b/>
          <w:color w:val="3D403D"/>
          <w:lang w:val="de-DE"/>
        </w:rPr>
      </w:pPr>
    </w:p>
    <w:p w14:paraId="6646794E" w14:textId="77777777" w:rsidR="009409C5" w:rsidRDefault="009409C5" w:rsidP="009409C5">
      <w:pPr>
        <w:spacing w:after="100" w:line="254" w:lineRule="auto"/>
        <w:jc w:val="center"/>
        <w:rPr>
          <w:b/>
          <w:color w:val="3D403D"/>
          <w:lang w:val="de-DE"/>
        </w:rPr>
      </w:pPr>
    </w:p>
    <w:p w14:paraId="351ABC63" w14:textId="77777777" w:rsidR="009409C5" w:rsidRPr="009409C5" w:rsidRDefault="009409C5" w:rsidP="009409C5">
      <w:pPr>
        <w:spacing w:after="100" w:line="254" w:lineRule="auto"/>
        <w:jc w:val="center"/>
        <w:rPr>
          <w:lang w:val="de-DE"/>
        </w:rPr>
      </w:pPr>
    </w:p>
    <w:p w14:paraId="61C2817B" w14:textId="77777777" w:rsidR="0038404F" w:rsidRDefault="00E61F6A">
      <w:pPr>
        <w:spacing w:after="100" w:line="254" w:lineRule="auto"/>
      </w:pPr>
      <w:r>
        <w:rPr>
          <w:b/>
          <w:color w:val="3D403D"/>
        </w:rPr>
        <w:t>VERSIONSHISTORIE</w:t>
      </w:r>
    </w:p>
    <w:tbl>
      <w:tblPr>
        <w:tblStyle w:val="TableGrid"/>
        <w:tblW w:w="0" w:type="auto"/>
        <w:jc w:val="center"/>
        <w:tblLook w:val="04A0" w:firstRow="1" w:lastRow="0" w:firstColumn="1" w:lastColumn="0" w:noHBand="0" w:noVBand="1"/>
      </w:tblPr>
      <w:tblGrid>
        <w:gridCol w:w="1502"/>
        <w:gridCol w:w="1669"/>
        <w:gridCol w:w="2153"/>
        <w:gridCol w:w="4832"/>
      </w:tblGrid>
      <w:tr w:rsidR="0038404F" w14:paraId="12A8AFF6" w14:textId="77777777" w:rsidTr="009409C5">
        <w:trPr>
          <w:jc w:val="center"/>
        </w:trPr>
        <w:tc>
          <w:tcPr>
            <w:tcW w:w="1584" w:type="dxa"/>
            <w:shd w:val="clear" w:color="auto" w:fill="000000" w:themeFill="text1"/>
            <w:tcMar>
              <w:top w:w="90" w:type="dxa"/>
              <w:left w:w="90" w:type="dxa"/>
              <w:bottom w:w="90" w:type="dxa"/>
              <w:right w:w="90" w:type="dxa"/>
            </w:tcMar>
            <w:vAlign w:val="center"/>
          </w:tcPr>
          <w:p w14:paraId="7DEE4357" w14:textId="77777777" w:rsidR="0038404F" w:rsidRPr="009409C5" w:rsidRDefault="00E61F6A">
            <w:pPr>
              <w:spacing w:after="20"/>
              <w:rPr>
                <w:color w:val="FFFFFF" w:themeColor="background1"/>
              </w:rPr>
            </w:pPr>
            <w:r w:rsidRPr="009409C5">
              <w:rPr>
                <w:b/>
                <w:color w:val="FFFFFF" w:themeColor="background1"/>
                <w:sz w:val="19"/>
              </w:rPr>
              <w:t>VERSION</w:t>
            </w:r>
          </w:p>
        </w:tc>
        <w:tc>
          <w:tcPr>
            <w:tcW w:w="1800" w:type="dxa"/>
            <w:shd w:val="clear" w:color="auto" w:fill="000000" w:themeFill="text1"/>
            <w:tcMar>
              <w:top w:w="90" w:type="dxa"/>
              <w:left w:w="90" w:type="dxa"/>
              <w:bottom w:w="90" w:type="dxa"/>
              <w:right w:w="90" w:type="dxa"/>
            </w:tcMar>
            <w:vAlign w:val="center"/>
          </w:tcPr>
          <w:p w14:paraId="389A63E1" w14:textId="77777777" w:rsidR="0038404F" w:rsidRPr="009409C5" w:rsidRDefault="00E61F6A">
            <w:pPr>
              <w:spacing w:after="20"/>
              <w:rPr>
                <w:color w:val="FFFFFF" w:themeColor="background1"/>
              </w:rPr>
            </w:pPr>
            <w:r w:rsidRPr="009409C5">
              <w:rPr>
                <w:b/>
                <w:color w:val="FFFFFF" w:themeColor="background1"/>
                <w:sz w:val="19"/>
              </w:rPr>
              <w:t>DATUM</w:t>
            </w:r>
          </w:p>
        </w:tc>
        <w:tc>
          <w:tcPr>
            <w:tcW w:w="2376" w:type="dxa"/>
            <w:shd w:val="clear" w:color="auto" w:fill="000000" w:themeFill="text1"/>
            <w:tcMar>
              <w:top w:w="90" w:type="dxa"/>
              <w:left w:w="90" w:type="dxa"/>
              <w:bottom w:w="90" w:type="dxa"/>
              <w:right w:w="90" w:type="dxa"/>
            </w:tcMar>
            <w:vAlign w:val="center"/>
          </w:tcPr>
          <w:p w14:paraId="15F69192" w14:textId="77777777" w:rsidR="0038404F" w:rsidRPr="009409C5" w:rsidRDefault="00E61F6A">
            <w:pPr>
              <w:spacing w:after="20"/>
              <w:rPr>
                <w:color w:val="FFFFFF" w:themeColor="background1"/>
              </w:rPr>
            </w:pPr>
            <w:r w:rsidRPr="009409C5">
              <w:rPr>
                <w:b/>
                <w:color w:val="FFFFFF" w:themeColor="background1"/>
                <w:sz w:val="19"/>
              </w:rPr>
              <w:t>NAME</w:t>
            </w:r>
          </w:p>
        </w:tc>
        <w:tc>
          <w:tcPr>
            <w:tcW w:w="5328" w:type="dxa"/>
            <w:shd w:val="clear" w:color="auto" w:fill="000000" w:themeFill="text1"/>
            <w:tcMar>
              <w:top w:w="90" w:type="dxa"/>
              <w:left w:w="90" w:type="dxa"/>
              <w:bottom w:w="90" w:type="dxa"/>
              <w:right w:w="90" w:type="dxa"/>
            </w:tcMar>
            <w:vAlign w:val="center"/>
          </w:tcPr>
          <w:p w14:paraId="2F3B57EB" w14:textId="77777777" w:rsidR="0038404F" w:rsidRPr="009409C5" w:rsidRDefault="00E61F6A">
            <w:pPr>
              <w:spacing w:after="20"/>
              <w:rPr>
                <w:color w:val="FFFFFF" w:themeColor="background1"/>
              </w:rPr>
            </w:pPr>
            <w:r w:rsidRPr="009409C5">
              <w:rPr>
                <w:b/>
                <w:color w:val="FFFFFF" w:themeColor="background1"/>
                <w:sz w:val="19"/>
              </w:rPr>
              <w:t>BESCHREIBUNG</w:t>
            </w:r>
          </w:p>
        </w:tc>
      </w:tr>
      <w:tr w:rsidR="0038404F" w14:paraId="56EE8635" w14:textId="77777777">
        <w:trPr>
          <w:jc w:val="center"/>
        </w:trPr>
        <w:tc>
          <w:tcPr>
            <w:tcW w:w="1584" w:type="dxa"/>
            <w:tcMar>
              <w:top w:w="90" w:type="dxa"/>
              <w:left w:w="90" w:type="dxa"/>
              <w:bottom w:w="90" w:type="dxa"/>
              <w:right w:w="90" w:type="dxa"/>
            </w:tcMar>
            <w:vAlign w:val="center"/>
          </w:tcPr>
          <w:p w14:paraId="6C731ED2" w14:textId="77777777" w:rsidR="0038404F" w:rsidRDefault="0038404F">
            <w:pPr>
              <w:spacing w:after="20"/>
            </w:pPr>
          </w:p>
        </w:tc>
        <w:tc>
          <w:tcPr>
            <w:tcW w:w="1800" w:type="dxa"/>
            <w:tcMar>
              <w:top w:w="90" w:type="dxa"/>
              <w:left w:w="90" w:type="dxa"/>
              <w:bottom w:w="90" w:type="dxa"/>
              <w:right w:w="90" w:type="dxa"/>
            </w:tcMar>
            <w:vAlign w:val="center"/>
          </w:tcPr>
          <w:p w14:paraId="17724FCF" w14:textId="77777777" w:rsidR="0038404F" w:rsidRDefault="0038404F">
            <w:pPr>
              <w:spacing w:after="20"/>
            </w:pPr>
          </w:p>
        </w:tc>
        <w:tc>
          <w:tcPr>
            <w:tcW w:w="2376" w:type="dxa"/>
            <w:tcMar>
              <w:top w:w="90" w:type="dxa"/>
              <w:left w:w="90" w:type="dxa"/>
              <w:bottom w:w="90" w:type="dxa"/>
              <w:right w:w="90" w:type="dxa"/>
            </w:tcMar>
            <w:vAlign w:val="center"/>
          </w:tcPr>
          <w:p w14:paraId="176C72DF" w14:textId="77777777" w:rsidR="0038404F" w:rsidRDefault="0038404F">
            <w:pPr>
              <w:spacing w:after="20"/>
            </w:pPr>
          </w:p>
        </w:tc>
        <w:tc>
          <w:tcPr>
            <w:tcW w:w="5328" w:type="dxa"/>
            <w:tcMar>
              <w:top w:w="90" w:type="dxa"/>
              <w:left w:w="90" w:type="dxa"/>
              <w:bottom w:w="90" w:type="dxa"/>
              <w:right w:w="90" w:type="dxa"/>
            </w:tcMar>
            <w:vAlign w:val="center"/>
          </w:tcPr>
          <w:p w14:paraId="367F911B" w14:textId="77777777" w:rsidR="0038404F" w:rsidRDefault="0038404F">
            <w:pPr>
              <w:spacing w:after="20"/>
            </w:pPr>
          </w:p>
        </w:tc>
      </w:tr>
      <w:tr w:rsidR="0038404F" w14:paraId="6C703E4A" w14:textId="77777777">
        <w:trPr>
          <w:jc w:val="center"/>
        </w:trPr>
        <w:tc>
          <w:tcPr>
            <w:tcW w:w="1584" w:type="dxa"/>
            <w:tcMar>
              <w:top w:w="90" w:type="dxa"/>
              <w:left w:w="90" w:type="dxa"/>
              <w:bottom w:w="90" w:type="dxa"/>
              <w:right w:w="90" w:type="dxa"/>
            </w:tcMar>
            <w:vAlign w:val="center"/>
          </w:tcPr>
          <w:p w14:paraId="179F9173" w14:textId="77777777" w:rsidR="0038404F" w:rsidRDefault="0038404F">
            <w:pPr>
              <w:spacing w:after="20"/>
            </w:pPr>
          </w:p>
        </w:tc>
        <w:tc>
          <w:tcPr>
            <w:tcW w:w="1800" w:type="dxa"/>
            <w:tcMar>
              <w:top w:w="90" w:type="dxa"/>
              <w:left w:w="90" w:type="dxa"/>
              <w:bottom w:w="90" w:type="dxa"/>
              <w:right w:w="90" w:type="dxa"/>
            </w:tcMar>
            <w:vAlign w:val="center"/>
          </w:tcPr>
          <w:p w14:paraId="5F9B955C" w14:textId="77777777" w:rsidR="0038404F" w:rsidRDefault="0038404F">
            <w:pPr>
              <w:spacing w:after="20"/>
            </w:pPr>
          </w:p>
        </w:tc>
        <w:tc>
          <w:tcPr>
            <w:tcW w:w="2376" w:type="dxa"/>
            <w:tcMar>
              <w:top w:w="90" w:type="dxa"/>
              <w:left w:w="90" w:type="dxa"/>
              <w:bottom w:w="90" w:type="dxa"/>
              <w:right w:w="90" w:type="dxa"/>
            </w:tcMar>
            <w:vAlign w:val="center"/>
          </w:tcPr>
          <w:p w14:paraId="6EBDC72E" w14:textId="77777777" w:rsidR="0038404F" w:rsidRDefault="0038404F">
            <w:pPr>
              <w:spacing w:after="20"/>
            </w:pPr>
          </w:p>
        </w:tc>
        <w:tc>
          <w:tcPr>
            <w:tcW w:w="5328" w:type="dxa"/>
            <w:tcMar>
              <w:top w:w="90" w:type="dxa"/>
              <w:left w:w="90" w:type="dxa"/>
              <w:bottom w:w="90" w:type="dxa"/>
              <w:right w:w="90" w:type="dxa"/>
            </w:tcMar>
            <w:vAlign w:val="center"/>
          </w:tcPr>
          <w:p w14:paraId="018F2AF9" w14:textId="77777777" w:rsidR="0038404F" w:rsidRDefault="0038404F">
            <w:pPr>
              <w:spacing w:after="20"/>
            </w:pPr>
          </w:p>
        </w:tc>
      </w:tr>
      <w:tr w:rsidR="0038404F" w14:paraId="0F43CE0A" w14:textId="77777777">
        <w:trPr>
          <w:jc w:val="center"/>
        </w:trPr>
        <w:tc>
          <w:tcPr>
            <w:tcW w:w="1584" w:type="dxa"/>
            <w:tcMar>
              <w:top w:w="90" w:type="dxa"/>
              <w:left w:w="90" w:type="dxa"/>
              <w:bottom w:w="90" w:type="dxa"/>
              <w:right w:w="90" w:type="dxa"/>
            </w:tcMar>
            <w:vAlign w:val="center"/>
          </w:tcPr>
          <w:p w14:paraId="291280B1" w14:textId="77777777" w:rsidR="0038404F" w:rsidRDefault="0038404F">
            <w:pPr>
              <w:spacing w:after="20"/>
            </w:pPr>
          </w:p>
        </w:tc>
        <w:tc>
          <w:tcPr>
            <w:tcW w:w="1800" w:type="dxa"/>
            <w:tcMar>
              <w:top w:w="90" w:type="dxa"/>
              <w:left w:w="90" w:type="dxa"/>
              <w:bottom w:w="90" w:type="dxa"/>
              <w:right w:w="90" w:type="dxa"/>
            </w:tcMar>
            <w:vAlign w:val="center"/>
          </w:tcPr>
          <w:p w14:paraId="45DFC338" w14:textId="77777777" w:rsidR="0038404F" w:rsidRDefault="0038404F">
            <w:pPr>
              <w:spacing w:after="20"/>
            </w:pPr>
          </w:p>
        </w:tc>
        <w:tc>
          <w:tcPr>
            <w:tcW w:w="2376" w:type="dxa"/>
            <w:tcMar>
              <w:top w:w="90" w:type="dxa"/>
              <w:left w:w="90" w:type="dxa"/>
              <w:bottom w:w="90" w:type="dxa"/>
              <w:right w:w="90" w:type="dxa"/>
            </w:tcMar>
            <w:vAlign w:val="center"/>
          </w:tcPr>
          <w:p w14:paraId="345108AC" w14:textId="77777777" w:rsidR="0038404F" w:rsidRDefault="0038404F">
            <w:pPr>
              <w:spacing w:after="20"/>
            </w:pPr>
          </w:p>
        </w:tc>
        <w:tc>
          <w:tcPr>
            <w:tcW w:w="5328" w:type="dxa"/>
            <w:tcMar>
              <w:top w:w="90" w:type="dxa"/>
              <w:left w:w="90" w:type="dxa"/>
              <w:bottom w:w="90" w:type="dxa"/>
              <w:right w:w="90" w:type="dxa"/>
            </w:tcMar>
            <w:vAlign w:val="center"/>
          </w:tcPr>
          <w:p w14:paraId="23C67358" w14:textId="77777777" w:rsidR="0038404F" w:rsidRDefault="0038404F">
            <w:pPr>
              <w:spacing w:after="20"/>
            </w:pPr>
          </w:p>
        </w:tc>
      </w:tr>
      <w:tr w:rsidR="0038404F" w14:paraId="51669D41" w14:textId="77777777">
        <w:trPr>
          <w:jc w:val="center"/>
        </w:trPr>
        <w:tc>
          <w:tcPr>
            <w:tcW w:w="1584" w:type="dxa"/>
            <w:tcMar>
              <w:top w:w="90" w:type="dxa"/>
              <w:left w:w="90" w:type="dxa"/>
              <w:bottom w:w="90" w:type="dxa"/>
              <w:right w:w="90" w:type="dxa"/>
            </w:tcMar>
            <w:vAlign w:val="center"/>
          </w:tcPr>
          <w:p w14:paraId="37440BA8" w14:textId="77777777" w:rsidR="0038404F" w:rsidRDefault="0038404F">
            <w:pPr>
              <w:spacing w:after="20"/>
            </w:pPr>
          </w:p>
        </w:tc>
        <w:tc>
          <w:tcPr>
            <w:tcW w:w="1800" w:type="dxa"/>
            <w:tcMar>
              <w:top w:w="90" w:type="dxa"/>
              <w:left w:w="90" w:type="dxa"/>
              <w:bottom w:w="90" w:type="dxa"/>
              <w:right w:w="90" w:type="dxa"/>
            </w:tcMar>
            <w:vAlign w:val="center"/>
          </w:tcPr>
          <w:p w14:paraId="48800472" w14:textId="77777777" w:rsidR="0038404F" w:rsidRDefault="0038404F">
            <w:pPr>
              <w:spacing w:after="20"/>
            </w:pPr>
          </w:p>
        </w:tc>
        <w:tc>
          <w:tcPr>
            <w:tcW w:w="2376" w:type="dxa"/>
            <w:tcMar>
              <w:top w:w="90" w:type="dxa"/>
              <w:left w:w="90" w:type="dxa"/>
              <w:bottom w:w="90" w:type="dxa"/>
              <w:right w:w="90" w:type="dxa"/>
            </w:tcMar>
            <w:vAlign w:val="center"/>
          </w:tcPr>
          <w:p w14:paraId="72377023" w14:textId="77777777" w:rsidR="0038404F" w:rsidRDefault="0038404F">
            <w:pPr>
              <w:spacing w:after="20"/>
            </w:pPr>
          </w:p>
        </w:tc>
        <w:tc>
          <w:tcPr>
            <w:tcW w:w="5328" w:type="dxa"/>
            <w:tcMar>
              <w:top w:w="90" w:type="dxa"/>
              <w:left w:w="90" w:type="dxa"/>
              <w:bottom w:w="90" w:type="dxa"/>
              <w:right w:w="90" w:type="dxa"/>
            </w:tcMar>
            <w:vAlign w:val="center"/>
          </w:tcPr>
          <w:p w14:paraId="53D5F00A" w14:textId="77777777" w:rsidR="0038404F" w:rsidRDefault="0038404F">
            <w:pPr>
              <w:spacing w:after="20"/>
            </w:pPr>
          </w:p>
        </w:tc>
      </w:tr>
      <w:tr w:rsidR="0038404F" w14:paraId="58F11553" w14:textId="77777777">
        <w:trPr>
          <w:jc w:val="center"/>
        </w:trPr>
        <w:tc>
          <w:tcPr>
            <w:tcW w:w="1584" w:type="dxa"/>
            <w:tcMar>
              <w:top w:w="90" w:type="dxa"/>
              <w:left w:w="90" w:type="dxa"/>
              <w:bottom w:w="90" w:type="dxa"/>
              <w:right w:w="90" w:type="dxa"/>
            </w:tcMar>
            <w:vAlign w:val="center"/>
          </w:tcPr>
          <w:p w14:paraId="68AB967C" w14:textId="77777777" w:rsidR="0038404F" w:rsidRDefault="0038404F">
            <w:pPr>
              <w:spacing w:after="20"/>
            </w:pPr>
          </w:p>
        </w:tc>
        <w:tc>
          <w:tcPr>
            <w:tcW w:w="1800" w:type="dxa"/>
            <w:tcMar>
              <w:top w:w="90" w:type="dxa"/>
              <w:left w:w="90" w:type="dxa"/>
              <w:bottom w:w="90" w:type="dxa"/>
              <w:right w:w="90" w:type="dxa"/>
            </w:tcMar>
            <w:vAlign w:val="center"/>
          </w:tcPr>
          <w:p w14:paraId="19B90504" w14:textId="77777777" w:rsidR="0038404F" w:rsidRDefault="0038404F">
            <w:pPr>
              <w:spacing w:after="20"/>
            </w:pPr>
          </w:p>
        </w:tc>
        <w:tc>
          <w:tcPr>
            <w:tcW w:w="2376" w:type="dxa"/>
            <w:tcMar>
              <w:top w:w="90" w:type="dxa"/>
              <w:left w:w="90" w:type="dxa"/>
              <w:bottom w:w="90" w:type="dxa"/>
              <w:right w:w="90" w:type="dxa"/>
            </w:tcMar>
            <w:vAlign w:val="center"/>
          </w:tcPr>
          <w:p w14:paraId="6A02287E" w14:textId="77777777" w:rsidR="0038404F" w:rsidRDefault="0038404F">
            <w:pPr>
              <w:spacing w:after="20"/>
            </w:pPr>
          </w:p>
        </w:tc>
        <w:tc>
          <w:tcPr>
            <w:tcW w:w="5328" w:type="dxa"/>
            <w:tcMar>
              <w:top w:w="90" w:type="dxa"/>
              <w:left w:w="90" w:type="dxa"/>
              <w:bottom w:w="90" w:type="dxa"/>
              <w:right w:w="90" w:type="dxa"/>
            </w:tcMar>
            <w:vAlign w:val="center"/>
          </w:tcPr>
          <w:p w14:paraId="6FD852E5" w14:textId="77777777" w:rsidR="0038404F" w:rsidRDefault="0038404F">
            <w:pPr>
              <w:spacing w:after="20"/>
            </w:pPr>
          </w:p>
        </w:tc>
      </w:tr>
      <w:tr w:rsidR="0038404F" w14:paraId="2D3D00D4" w14:textId="77777777">
        <w:trPr>
          <w:jc w:val="center"/>
        </w:trPr>
        <w:tc>
          <w:tcPr>
            <w:tcW w:w="1584" w:type="dxa"/>
            <w:tcMar>
              <w:top w:w="90" w:type="dxa"/>
              <w:left w:w="90" w:type="dxa"/>
              <w:bottom w:w="90" w:type="dxa"/>
              <w:right w:w="90" w:type="dxa"/>
            </w:tcMar>
            <w:vAlign w:val="center"/>
          </w:tcPr>
          <w:p w14:paraId="33CBEDFD" w14:textId="77777777" w:rsidR="0038404F" w:rsidRDefault="0038404F">
            <w:pPr>
              <w:spacing w:after="20"/>
            </w:pPr>
          </w:p>
        </w:tc>
        <w:tc>
          <w:tcPr>
            <w:tcW w:w="1800" w:type="dxa"/>
            <w:tcMar>
              <w:top w:w="90" w:type="dxa"/>
              <w:left w:w="90" w:type="dxa"/>
              <w:bottom w:w="90" w:type="dxa"/>
              <w:right w:w="90" w:type="dxa"/>
            </w:tcMar>
            <w:vAlign w:val="center"/>
          </w:tcPr>
          <w:p w14:paraId="3175DEC6" w14:textId="77777777" w:rsidR="0038404F" w:rsidRDefault="0038404F">
            <w:pPr>
              <w:spacing w:after="20"/>
            </w:pPr>
          </w:p>
        </w:tc>
        <w:tc>
          <w:tcPr>
            <w:tcW w:w="2376" w:type="dxa"/>
            <w:tcMar>
              <w:top w:w="90" w:type="dxa"/>
              <w:left w:w="90" w:type="dxa"/>
              <w:bottom w:w="90" w:type="dxa"/>
              <w:right w:w="90" w:type="dxa"/>
            </w:tcMar>
            <w:vAlign w:val="center"/>
          </w:tcPr>
          <w:p w14:paraId="11F01FEF" w14:textId="77777777" w:rsidR="0038404F" w:rsidRDefault="0038404F">
            <w:pPr>
              <w:spacing w:after="20"/>
            </w:pPr>
          </w:p>
        </w:tc>
        <w:tc>
          <w:tcPr>
            <w:tcW w:w="5328" w:type="dxa"/>
            <w:tcMar>
              <w:top w:w="90" w:type="dxa"/>
              <w:left w:w="90" w:type="dxa"/>
              <w:bottom w:w="90" w:type="dxa"/>
              <w:right w:w="90" w:type="dxa"/>
            </w:tcMar>
            <w:vAlign w:val="center"/>
          </w:tcPr>
          <w:p w14:paraId="4405CAAC" w14:textId="77777777" w:rsidR="0038404F" w:rsidRDefault="0038404F">
            <w:pPr>
              <w:spacing w:after="20"/>
            </w:pPr>
          </w:p>
        </w:tc>
      </w:tr>
      <w:tr w:rsidR="0038404F" w14:paraId="0BF8D5CB" w14:textId="77777777">
        <w:trPr>
          <w:jc w:val="center"/>
        </w:trPr>
        <w:tc>
          <w:tcPr>
            <w:tcW w:w="1584" w:type="dxa"/>
            <w:tcMar>
              <w:top w:w="90" w:type="dxa"/>
              <w:left w:w="90" w:type="dxa"/>
              <w:bottom w:w="90" w:type="dxa"/>
              <w:right w:w="90" w:type="dxa"/>
            </w:tcMar>
            <w:vAlign w:val="center"/>
          </w:tcPr>
          <w:p w14:paraId="18557E6A" w14:textId="77777777" w:rsidR="0038404F" w:rsidRDefault="0038404F">
            <w:pPr>
              <w:spacing w:after="20"/>
            </w:pPr>
          </w:p>
        </w:tc>
        <w:tc>
          <w:tcPr>
            <w:tcW w:w="1800" w:type="dxa"/>
            <w:tcMar>
              <w:top w:w="90" w:type="dxa"/>
              <w:left w:w="90" w:type="dxa"/>
              <w:bottom w:w="90" w:type="dxa"/>
              <w:right w:w="90" w:type="dxa"/>
            </w:tcMar>
            <w:vAlign w:val="center"/>
          </w:tcPr>
          <w:p w14:paraId="22DF613B" w14:textId="77777777" w:rsidR="0038404F" w:rsidRDefault="0038404F">
            <w:pPr>
              <w:spacing w:after="20"/>
            </w:pPr>
          </w:p>
        </w:tc>
        <w:tc>
          <w:tcPr>
            <w:tcW w:w="2376" w:type="dxa"/>
            <w:tcMar>
              <w:top w:w="90" w:type="dxa"/>
              <w:left w:w="90" w:type="dxa"/>
              <w:bottom w:w="90" w:type="dxa"/>
              <w:right w:w="90" w:type="dxa"/>
            </w:tcMar>
            <w:vAlign w:val="center"/>
          </w:tcPr>
          <w:p w14:paraId="6EA1DB2A" w14:textId="77777777" w:rsidR="0038404F" w:rsidRDefault="0038404F">
            <w:pPr>
              <w:spacing w:after="20"/>
            </w:pPr>
          </w:p>
        </w:tc>
        <w:tc>
          <w:tcPr>
            <w:tcW w:w="5328" w:type="dxa"/>
            <w:tcMar>
              <w:top w:w="90" w:type="dxa"/>
              <w:left w:w="90" w:type="dxa"/>
              <w:bottom w:w="90" w:type="dxa"/>
              <w:right w:w="90" w:type="dxa"/>
            </w:tcMar>
            <w:vAlign w:val="center"/>
          </w:tcPr>
          <w:p w14:paraId="5261C614" w14:textId="77777777" w:rsidR="0038404F" w:rsidRDefault="0038404F">
            <w:pPr>
              <w:spacing w:after="20"/>
            </w:pPr>
          </w:p>
        </w:tc>
      </w:tr>
    </w:tbl>
    <w:p w14:paraId="642E8F21" w14:textId="77777777" w:rsidR="0038404F" w:rsidRDefault="0038404F">
      <w:pPr>
        <w:spacing w:after="100" w:line="254" w:lineRule="auto"/>
      </w:pPr>
    </w:p>
    <w:p w14:paraId="6935E2A4" w14:textId="77777777" w:rsidR="0038404F" w:rsidRDefault="00E61F6A">
      <w:pPr>
        <w:spacing w:after="100" w:line="254" w:lineRule="auto"/>
      </w:pPr>
      <w:r>
        <w:rPr>
          <w:b/>
        </w:rPr>
        <w:t xml:space="preserve">Playbook-Verantwortliche/r: </w:t>
      </w:r>
    </w:p>
    <w:p w14:paraId="53449EDE" w14:textId="77777777" w:rsidR="0038404F" w:rsidRDefault="00E61F6A">
      <w:pPr>
        <w:spacing w:after="100" w:line="254" w:lineRule="auto"/>
      </w:pPr>
      <w:r>
        <w:rPr>
          <w:b/>
        </w:rPr>
        <w:t xml:space="preserve">Nächste Überprüfung: </w:t>
      </w:r>
    </w:p>
    <w:p w14:paraId="0A8F9D11" w14:textId="77777777" w:rsidR="0038404F" w:rsidRDefault="00E61F6A">
      <w:r>
        <w:br w:type="page"/>
      </w:r>
    </w:p>
    <w:sdt>
      <w:sdtPr>
        <w:id w:val="551360564"/>
        <w:docPartObj>
          <w:docPartGallery w:val="Table of Contents"/>
          <w:docPartUnique/>
        </w:docPartObj>
      </w:sdtPr>
      <w:sdtEndPr>
        <w:rPr>
          <w:b/>
          <w:bCs/>
          <w:noProof/>
        </w:rPr>
      </w:sdtEndPr>
      <w:sdtContent>
        <w:p w14:paraId="7DD59D68" w14:textId="5A577460" w:rsidR="009409C5" w:rsidRPr="009409C5" w:rsidRDefault="009409C5" w:rsidP="009409C5">
          <w:pPr>
            <w:spacing w:after="100" w:line="254" w:lineRule="auto"/>
          </w:pPr>
          <w:proofErr w:type="spellStart"/>
          <w:r>
            <w:rPr>
              <w:b/>
              <w:sz w:val="24"/>
            </w:rPr>
            <w:t>Inhaltsverzeichnis</w:t>
          </w:r>
          <w:proofErr w:type="spellEnd"/>
        </w:p>
        <w:p w14:paraId="62CC2B4A" w14:textId="0398DD23" w:rsidR="00E65A4B" w:rsidRDefault="009409C5">
          <w:pPr>
            <w:pStyle w:val="TOC3"/>
            <w:tabs>
              <w:tab w:val="right" w:leader="dot" w:pos="10156"/>
            </w:tabs>
            <w:rPr>
              <w:rFonts w:asciiTheme="minorHAnsi" w:eastAsiaTheme="minorEastAsia" w:hAnsiTheme="minorHAnsi"/>
              <w:noProof/>
              <w:kern w:val="2"/>
              <w:sz w:val="24"/>
              <w:szCs w:val="24"/>
              <w:lang w:val="de-DE" w:eastAsia="de-DE"/>
              <w14:ligatures w14:val="standardContextual"/>
            </w:rPr>
          </w:pPr>
          <w:r>
            <w:fldChar w:fldCharType="begin"/>
          </w:r>
          <w:r>
            <w:instrText xml:space="preserve"> TOC \o "1-3" \h \z \u </w:instrText>
          </w:r>
          <w:r>
            <w:fldChar w:fldCharType="separate"/>
          </w:r>
          <w:hyperlink w:anchor="_Toc239169187" w:history="1">
            <w:r w:rsidR="00E65A4B" w:rsidRPr="0074530B">
              <w:rPr>
                <w:rStyle w:val="Hyperlink"/>
                <w:rFonts w:ascii="Aptos Display" w:eastAsia="Aptos Display" w:hAnsi="Aptos Display"/>
                <w:noProof/>
                <w:lang w:val="de-DE"/>
              </w:rPr>
              <w:t>1.1 Erkennung</w:t>
            </w:r>
            <w:r w:rsidR="00E65A4B">
              <w:rPr>
                <w:noProof/>
                <w:webHidden/>
              </w:rPr>
              <w:tab/>
            </w:r>
            <w:r w:rsidR="00E65A4B">
              <w:rPr>
                <w:noProof/>
                <w:webHidden/>
              </w:rPr>
              <w:fldChar w:fldCharType="begin"/>
            </w:r>
            <w:r w:rsidR="00E65A4B">
              <w:rPr>
                <w:noProof/>
                <w:webHidden/>
              </w:rPr>
              <w:instrText xml:space="preserve"> PAGEREF _Toc239169187 \h </w:instrText>
            </w:r>
            <w:r w:rsidR="00E65A4B">
              <w:rPr>
                <w:noProof/>
                <w:webHidden/>
              </w:rPr>
            </w:r>
            <w:r w:rsidR="00E65A4B">
              <w:rPr>
                <w:noProof/>
                <w:webHidden/>
              </w:rPr>
              <w:fldChar w:fldCharType="separate"/>
            </w:r>
            <w:r w:rsidR="00E65A4B">
              <w:rPr>
                <w:noProof/>
                <w:webHidden/>
              </w:rPr>
              <w:t>3</w:t>
            </w:r>
            <w:r w:rsidR="00E65A4B">
              <w:rPr>
                <w:noProof/>
                <w:webHidden/>
              </w:rPr>
              <w:fldChar w:fldCharType="end"/>
            </w:r>
          </w:hyperlink>
        </w:p>
        <w:p w14:paraId="4DA59F15" w14:textId="2BDEB689" w:rsidR="00E65A4B" w:rsidRDefault="00E65A4B">
          <w:pPr>
            <w:pStyle w:val="TOC3"/>
            <w:tabs>
              <w:tab w:val="right" w:leader="dot" w:pos="10156"/>
            </w:tabs>
            <w:rPr>
              <w:rFonts w:asciiTheme="minorHAnsi" w:eastAsiaTheme="minorEastAsia" w:hAnsiTheme="minorHAnsi"/>
              <w:noProof/>
              <w:kern w:val="2"/>
              <w:sz w:val="24"/>
              <w:szCs w:val="24"/>
              <w:lang w:val="de-DE" w:eastAsia="de-DE"/>
              <w14:ligatures w14:val="standardContextual"/>
            </w:rPr>
          </w:pPr>
          <w:hyperlink w:anchor="_Toc239169188" w:history="1">
            <w:r w:rsidRPr="0074530B">
              <w:rPr>
                <w:rStyle w:val="Hyperlink"/>
                <w:rFonts w:ascii="Aptos Display" w:eastAsia="Aptos Display" w:hAnsi="Aptos Display"/>
                <w:noProof/>
              </w:rPr>
              <w:t>1.2 Rollen und Verantwortlichkeiten</w:t>
            </w:r>
            <w:r>
              <w:rPr>
                <w:noProof/>
                <w:webHidden/>
              </w:rPr>
              <w:tab/>
            </w:r>
            <w:r>
              <w:rPr>
                <w:noProof/>
                <w:webHidden/>
              </w:rPr>
              <w:fldChar w:fldCharType="begin"/>
            </w:r>
            <w:r>
              <w:rPr>
                <w:noProof/>
                <w:webHidden/>
              </w:rPr>
              <w:instrText xml:space="preserve"> PAGEREF _Toc239169188 \h </w:instrText>
            </w:r>
            <w:r>
              <w:rPr>
                <w:noProof/>
                <w:webHidden/>
              </w:rPr>
            </w:r>
            <w:r>
              <w:rPr>
                <w:noProof/>
                <w:webHidden/>
              </w:rPr>
              <w:fldChar w:fldCharType="separate"/>
            </w:r>
            <w:r>
              <w:rPr>
                <w:noProof/>
                <w:webHidden/>
              </w:rPr>
              <w:t>3</w:t>
            </w:r>
            <w:r>
              <w:rPr>
                <w:noProof/>
                <w:webHidden/>
              </w:rPr>
              <w:fldChar w:fldCharType="end"/>
            </w:r>
          </w:hyperlink>
        </w:p>
        <w:p w14:paraId="65D4C35D" w14:textId="0F505E9A" w:rsidR="00E65A4B" w:rsidRDefault="00E65A4B">
          <w:pPr>
            <w:pStyle w:val="TOC3"/>
            <w:tabs>
              <w:tab w:val="right" w:leader="dot" w:pos="10156"/>
            </w:tabs>
            <w:rPr>
              <w:rFonts w:asciiTheme="minorHAnsi" w:eastAsiaTheme="minorEastAsia" w:hAnsiTheme="minorHAnsi"/>
              <w:noProof/>
              <w:kern w:val="2"/>
              <w:sz w:val="24"/>
              <w:szCs w:val="24"/>
              <w:lang w:val="de-DE" w:eastAsia="de-DE"/>
              <w14:ligatures w14:val="standardContextual"/>
            </w:rPr>
          </w:pPr>
          <w:hyperlink w:anchor="_Toc239169189" w:history="1">
            <w:r w:rsidRPr="0074530B">
              <w:rPr>
                <w:rStyle w:val="Hyperlink"/>
                <w:rFonts w:ascii="Aptos Display" w:eastAsia="Aptos Display" w:hAnsi="Aptos Display"/>
                <w:noProof/>
                <w:lang w:val="de-DE"/>
              </w:rPr>
              <w:t>1.3 Reaktionsschritte</w:t>
            </w:r>
            <w:r>
              <w:rPr>
                <w:noProof/>
                <w:webHidden/>
              </w:rPr>
              <w:tab/>
            </w:r>
            <w:r>
              <w:rPr>
                <w:noProof/>
                <w:webHidden/>
              </w:rPr>
              <w:fldChar w:fldCharType="begin"/>
            </w:r>
            <w:r>
              <w:rPr>
                <w:noProof/>
                <w:webHidden/>
              </w:rPr>
              <w:instrText xml:space="preserve"> PAGEREF _Toc239169189 \h </w:instrText>
            </w:r>
            <w:r>
              <w:rPr>
                <w:noProof/>
                <w:webHidden/>
              </w:rPr>
            </w:r>
            <w:r>
              <w:rPr>
                <w:noProof/>
                <w:webHidden/>
              </w:rPr>
              <w:fldChar w:fldCharType="separate"/>
            </w:r>
            <w:r>
              <w:rPr>
                <w:noProof/>
                <w:webHidden/>
              </w:rPr>
              <w:t>4</w:t>
            </w:r>
            <w:r>
              <w:rPr>
                <w:noProof/>
                <w:webHidden/>
              </w:rPr>
              <w:fldChar w:fldCharType="end"/>
            </w:r>
          </w:hyperlink>
        </w:p>
        <w:p w14:paraId="2E57C5B7" w14:textId="459EA8F7" w:rsidR="00E65A4B" w:rsidRDefault="00E65A4B">
          <w:pPr>
            <w:pStyle w:val="TOC2"/>
            <w:tabs>
              <w:tab w:val="right" w:leader="dot" w:pos="10156"/>
            </w:tabs>
            <w:rPr>
              <w:rFonts w:asciiTheme="minorHAnsi" w:eastAsiaTheme="minorEastAsia" w:hAnsiTheme="minorHAnsi"/>
              <w:noProof/>
              <w:kern w:val="2"/>
              <w:sz w:val="24"/>
              <w:szCs w:val="24"/>
              <w:lang w:val="de-DE" w:eastAsia="de-DE"/>
              <w14:ligatures w14:val="standardContextual"/>
            </w:rPr>
          </w:pPr>
          <w:hyperlink w:anchor="_Toc239169190" w:history="1">
            <w:r w:rsidRPr="0074530B">
              <w:rPr>
                <w:rStyle w:val="Hyperlink"/>
                <w:rFonts w:ascii="Aptos Display" w:eastAsia="Aptos Display" w:hAnsi="Aptos Display"/>
                <w:noProof/>
                <w:lang w:val="de-DE"/>
              </w:rPr>
              <w:t>Anhang A: Ablaufdiagramm zur Reaktion auf Malware</w:t>
            </w:r>
            <w:r>
              <w:rPr>
                <w:noProof/>
                <w:webHidden/>
              </w:rPr>
              <w:tab/>
            </w:r>
            <w:r>
              <w:rPr>
                <w:noProof/>
                <w:webHidden/>
              </w:rPr>
              <w:fldChar w:fldCharType="begin"/>
            </w:r>
            <w:r>
              <w:rPr>
                <w:noProof/>
                <w:webHidden/>
              </w:rPr>
              <w:instrText xml:space="preserve"> PAGEREF _Toc239169190 \h </w:instrText>
            </w:r>
            <w:r>
              <w:rPr>
                <w:noProof/>
                <w:webHidden/>
              </w:rPr>
            </w:r>
            <w:r>
              <w:rPr>
                <w:noProof/>
                <w:webHidden/>
              </w:rPr>
              <w:fldChar w:fldCharType="separate"/>
            </w:r>
            <w:r>
              <w:rPr>
                <w:noProof/>
                <w:webHidden/>
              </w:rPr>
              <w:t>7</w:t>
            </w:r>
            <w:r>
              <w:rPr>
                <w:noProof/>
                <w:webHidden/>
              </w:rPr>
              <w:fldChar w:fldCharType="end"/>
            </w:r>
          </w:hyperlink>
        </w:p>
        <w:p w14:paraId="2C6A4F3A" w14:textId="7848CBC7" w:rsidR="009409C5" w:rsidRDefault="009409C5">
          <w:r>
            <w:rPr>
              <w:b/>
              <w:bCs/>
              <w:noProof/>
            </w:rPr>
            <w:fldChar w:fldCharType="end"/>
          </w:r>
        </w:p>
      </w:sdtContent>
    </w:sdt>
    <w:p w14:paraId="73069AFC" w14:textId="77777777" w:rsidR="0038404F" w:rsidRPr="009409C5" w:rsidRDefault="00E61F6A">
      <w:pPr>
        <w:rPr>
          <w:lang w:val="de-DE"/>
        </w:rPr>
      </w:pPr>
      <w:r w:rsidRPr="009409C5">
        <w:rPr>
          <w:lang w:val="de-DE"/>
        </w:rPr>
        <w:br w:type="page"/>
      </w:r>
    </w:p>
    <w:p w14:paraId="5F74AE54" w14:textId="77777777" w:rsidR="0038404F" w:rsidRPr="009409C5" w:rsidRDefault="00E61F6A">
      <w:pPr>
        <w:spacing w:after="100" w:line="254" w:lineRule="auto"/>
        <w:rPr>
          <w:lang w:val="de-DE"/>
        </w:rPr>
      </w:pPr>
      <w:r w:rsidRPr="009409C5">
        <w:rPr>
          <w:b/>
          <w:sz w:val="28"/>
          <w:lang w:val="de-DE"/>
        </w:rPr>
        <w:lastRenderedPageBreak/>
        <w:t>Playbook zur Reaktion auf Malware</w:t>
      </w:r>
    </w:p>
    <w:p w14:paraId="1A50C53A" w14:textId="158CB4A5" w:rsidR="0038404F" w:rsidRPr="009409C5" w:rsidRDefault="009748A1">
      <w:pPr>
        <w:pStyle w:val="Heading3"/>
        <w:spacing w:before="160" w:after="80"/>
        <w:rPr>
          <w:color w:val="auto"/>
          <w:lang w:val="de-DE"/>
        </w:rPr>
      </w:pPr>
      <w:bookmarkStart w:id="0" w:name="_Toc239169187"/>
      <w:r>
        <w:rPr>
          <w:rFonts w:ascii="Aptos Display" w:eastAsia="Aptos Display" w:hAnsi="Aptos Display"/>
          <w:color w:val="auto"/>
          <w:lang w:val="de-DE"/>
        </w:rPr>
        <w:t xml:space="preserve">1.1 </w:t>
      </w:r>
      <w:r w:rsidR="00E61F6A" w:rsidRPr="009409C5">
        <w:rPr>
          <w:rFonts w:ascii="Aptos Display" w:eastAsia="Aptos Display" w:hAnsi="Aptos Display"/>
          <w:color w:val="auto"/>
          <w:lang w:val="de-DE"/>
        </w:rPr>
        <w:t>Erkennung</w:t>
      </w:r>
      <w:bookmarkEnd w:id="0"/>
    </w:p>
    <w:p w14:paraId="27AB0D73" w14:textId="77777777" w:rsidR="0038404F" w:rsidRPr="009409C5" w:rsidRDefault="00E61F6A">
      <w:pPr>
        <w:spacing w:after="100" w:line="254" w:lineRule="auto"/>
        <w:rPr>
          <w:lang w:val="de-DE"/>
        </w:rPr>
      </w:pPr>
      <w:r w:rsidRPr="009409C5">
        <w:rPr>
          <w:lang w:val="de-DE"/>
        </w:rPr>
        <w:t>Malware ist Software, die für böswillige Zwecke entwickelt und eingesetzt wird, etwa zur Kompromittierung oder Beschädigung von Systemen, zur Spionage, zum Diebstahl von Geldmitteln oder Daten oder zur Durchführung sonstiger unbefugter Aktivitäten. Malware kann über verschiedene Methoden und aus unterschiedlichen Gründen auf Systemen bereitgestellt werden und wird häufig als Teil eines größeren Cyber-Sicherheitsvorfalls eingesetzt.</w:t>
      </w:r>
    </w:p>
    <w:p w14:paraId="682FC446" w14:textId="77777777" w:rsidR="0038404F" w:rsidRPr="009409C5" w:rsidRDefault="00E61F6A">
      <w:pPr>
        <w:spacing w:after="100" w:line="254" w:lineRule="auto"/>
        <w:rPr>
          <w:lang w:val="de-DE"/>
        </w:rPr>
      </w:pPr>
      <w:r w:rsidRPr="009409C5">
        <w:rPr>
          <w:lang w:val="de-DE"/>
        </w:rPr>
        <w:t>Malware kann unter anderem durch folgende Hinweise erkannt werden:</w:t>
      </w:r>
    </w:p>
    <w:p w14:paraId="21DE5DE7" w14:textId="77777777" w:rsidR="009748A1" w:rsidRPr="009748A1" w:rsidRDefault="00E61F6A">
      <w:pPr>
        <w:pStyle w:val="ListBullet"/>
        <w:spacing w:after="40"/>
        <w:rPr>
          <w:lang w:val="de-DE"/>
        </w:rPr>
      </w:pPr>
      <w:r w:rsidRPr="009409C5">
        <w:rPr>
          <w:b/>
          <w:sz w:val="20"/>
          <w:lang w:val="de-DE"/>
        </w:rPr>
        <w:t>Erkennung durch Eigentümer betroffener Geräte:</w:t>
      </w:r>
      <w:r w:rsidRPr="009409C5">
        <w:rPr>
          <w:sz w:val="20"/>
          <w:lang w:val="de-DE"/>
        </w:rPr>
        <w:t xml:space="preserve"> </w:t>
      </w:r>
    </w:p>
    <w:p w14:paraId="0B89A6EC" w14:textId="51FAE98B" w:rsidR="0038404F" w:rsidRPr="009409C5" w:rsidRDefault="00E61F6A" w:rsidP="009748A1">
      <w:pPr>
        <w:pStyle w:val="ListBullet"/>
        <w:numPr>
          <w:ilvl w:val="0"/>
          <w:numId w:val="12"/>
        </w:numPr>
        <w:spacing w:after="40"/>
        <w:rPr>
          <w:lang w:val="de-DE"/>
        </w:rPr>
      </w:pPr>
      <w:r w:rsidRPr="009409C5">
        <w:rPr>
          <w:sz w:val="20"/>
          <w:lang w:val="de-DE"/>
        </w:rPr>
        <w:t>Der Geräteeigentümer informiert das IT-Team, dass eine Interaktion mit einem schädlichen Link und/oder Dokument stattgefunden hat.</w:t>
      </w:r>
    </w:p>
    <w:p w14:paraId="3AD55805" w14:textId="77777777" w:rsidR="0038404F" w:rsidRPr="009409C5" w:rsidRDefault="00E61F6A" w:rsidP="009748A1">
      <w:pPr>
        <w:pStyle w:val="ListBullet"/>
        <w:numPr>
          <w:ilvl w:val="0"/>
          <w:numId w:val="12"/>
        </w:numPr>
        <w:spacing w:after="40"/>
        <w:rPr>
          <w:lang w:val="de-DE"/>
        </w:rPr>
      </w:pPr>
      <w:r w:rsidRPr="009409C5">
        <w:rPr>
          <w:sz w:val="20"/>
          <w:lang w:val="de-DE"/>
        </w:rPr>
        <w:t>Wie oben, jedoch mit der Folge, dass eine Datei oder ein ähnliches Objekt auf das Gerät heruntergeladen wurde.</w:t>
      </w:r>
    </w:p>
    <w:p w14:paraId="259E78B5" w14:textId="77777777" w:rsidR="0038404F" w:rsidRPr="009409C5" w:rsidRDefault="00E61F6A" w:rsidP="009748A1">
      <w:pPr>
        <w:pStyle w:val="ListBullet"/>
        <w:numPr>
          <w:ilvl w:val="0"/>
          <w:numId w:val="12"/>
        </w:numPr>
        <w:spacing w:after="40"/>
        <w:rPr>
          <w:lang w:val="de-DE"/>
        </w:rPr>
      </w:pPr>
      <w:r w:rsidRPr="009409C5">
        <w:rPr>
          <w:sz w:val="20"/>
          <w:lang w:val="de-DE"/>
        </w:rPr>
        <w:t>Unerwartete oder ungewöhnliche Geräteaktivität wird beobachtet.</w:t>
      </w:r>
    </w:p>
    <w:p w14:paraId="4B8976C5" w14:textId="77777777" w:rsidR="0038404F" w:rsidRPr="009409C5" w:rsidRDefault="00E61F6A" w:rsidP="009748A1">
      <w:pPr>
        <w:pStyle w:val="ListBullet"/>
        <w:numPr>
          <w:ilvl w:val="0"/>
          <w:numId w:val="12"/>
        </w:numPr>
        <w:spacing w:after="40"/>
        <w:rPr>
          <w:lang w:val="de-DE"/>
        </w:rPr>
      </w:pPr>
      <w:r w:rsidRPr="009409C5">
        <w:rPr>
          <w:sz w:val="20"/>
          <w:lang w:val="de-DE"/>
        </w:rPr>
        <w:t>Neue und unerwartete Software oder Dienste werden auf dem Gerät identifiziert.</w:t>
      </w:r>
    </w:p>
    <w:p w14:paraId="739E3430" w14:textId="77777777" w:rsidR="0038404F" w:rsidRPr="009409C5" w:rsidRDefault="00E61F6A" w:rsidP="009748A1">
      <w:pPr>
        <w:pStyle w:val="ListBullet"/>
        <w:numPr>
          <w:ilvl w:val="0"/>
          <w:numId w:val="12"/>
        </w:numPr>
        <w:spacing w:after="40"/>
        <w:rPr>
          <w:lang w:val="de-DE"/>
        </w:rPr>
      </w:pPr>
      <w:r w:rsidRPr="009409C5">
        <w:rPr>
          <w:sz w:val="20"/>
          <w:lang w:val="de-DE"/>
        </w:rPr>
        <w:t>Der Nutzer kann nicht auf das Gerät oder die darauf enthaltenen Dateien zugreifen.</w:t>
      </w:r>
    </w:p>
    <w:p w14:paraId="2A44E79B" w14:textId="77777777" w:rsidR="009748A1" w:rsidRPr="009748A1" w:rsidRDefault="00E61F6A">
      <w:pPr>
        <w:pStyle w:val="ListBullet"/>
        <w:spacing w:after="40"/>
        <w:rPr>
          <w:lang w:val="de-DE"/>
        </w:rPr>
      </w:pPr>
      <w:r w:rsidRPr="009409C5">
        <w:rPr>
          <w:b/>
          <w:sz w:val="20"/>
          <w:lang w:val="de-DE"/>
        </w:rPr>
        <w:t>Sonstige Erkennung:</w:t>
      </w:r>
      <w:r w:rsidRPr="009409C5">
        <w:rPr>
          <w:sz w:val="20"/>
          <w:lang w:val="de-DE"/>
        </w:rPr>
        <w:t xml:space="preserve"> </w:t>
      </w:r>
    </w:p>
    <w:p w14:paraId="1745005D" w14:textId="17441777" w:rsidR="0038404F" w:rsidRPr="009409C5" w:rsidRDefault="00E61F6A" w:rsidP="009748A1">
      <w:pPr>
        <w:pStyle w:val="ListBullet"/>
        <w:numPr>
          <w:ilvl w:val="0"/>
          <w:numId w:val="11"/>
        </w:numPr>
        <w:spacing w:after="40"/>
        <w:rPr>
          <w:lang w:val="de-DE"/>
        </w:rPr>
      </w:pPr>
      <w:r w:rsidRPr="009409C5">
        <w:rPr>
          <w:sz w:val="20"/>
          <w:lang w:val="de-DE"/>
        </w:rPr>
        <w:t>Warnung durch Anti-Virus-Anbieter und potenzielle Quarantäne verdächtiger Artefakte.</w:t>
      </w:r>
    </w:p>
    <w:p w14:paraId="4D2BAB0E" w14:textId="77777777" w:rsidR="0038404F" w:rsidRDefault="00E61F6A" w:rsidP="009748A1">
      <w:pPr>
        <w:pStyle w:val="ListBullet"/>
        <w:numPr>
          <w:ilvl w:val="0"/>
          <w:numId w:val="11"/>
        </w:numPr>
        <w:spacing w:after="40"/>
      </w:pPr>
      <w:proofErr w:type="spellStart"/>
      <w:r>
        <w:rPr>
          <w:sz w:val="20"/>
        </w:rPr>
        <w:t>Erkennung</w:t>
      </w:r>
      <w:proofErr w:type="spellEnd"/>
      <w:r>
        <w:rPr>
          <w:sz w:val="20"/>
        </w:rPr>
        <w:t xml:space="preserve"> </w:t>
      </w:r>
      <w:proofErr w:type="spellStart"/>
      <w:r>
        <w:rPr>
          <w:sz w:val="20"/>
        </w:rPr>
        <w:t>durch</w:t>
      </w:r>
      <w:proofErr w:type="spellEnd"/>
      <w:r>
        <w:rPr>
          <w:sz w:val="20"/>
        </w:rPr>
        <w:t xml:space="preserve"> </w:t>
      </w:r>
      <w:proofErr w:type="spellStart"/>
      <w:r>
        <w:rPr>
          <w:sz w:val="20"/>
        </w:rPr>
        <w:t>Drittanbieter</w:t>
      </w:r>
      <w:proofErr w:type="spellEnd"/>
      <w:r>
        <w:rPr>
          <w:sz w:val="20"/>
        </w:rPr>
        <w:t>-Software.</w:t>
      </w:r>
    </w:p>
    <w:p w14:paraId="1F4E0590" w14:textId="77777777" w:rsidR="0038404F" w:rsidRDefault="00E61F6A" w:rsidP="009748A1">
      <w:pPr>
        <w:pStyle w:val="ListBullet"/>
        <w:numPr>
          <w:ilvl w:val="0"/>
          <w:numId w:val="11"/>
        </w:numPr>
        <w:spacing w:after="40"/>
      </w:pPr>
      <w:r>
        <w:rPr>
          <w:sz w:val="20"/>
        </w:rPr>
        <w:t>Firewall-Protokolle und Alarmierungsmechanismen.</w:t>
      </w:r>
    </w:p>
    <w:p w14:paraId="0F38381D" w14:textId="77777777" w:rsidR="0038404F" w:rsidRPr="009409C5" w:rsidRDefault="00E61F6A" w:rsidP="009748A1">
      <w:pPr>
        <w:pStyle w:val="ListBullet"/>
        <w:numPr>
          <w:ilvl w:val="0"/>
          <w:numId w:val="11"/>
        </w:numPr>
        <w:spacing w:after="40"/>
        <w:rPr>
          <w:lang w:val="de-DE"/>
        </w:rPr>
      </w:pPr>
      <w:r w:rsidRPr="009409C5">
        <w:rPr>
          <w:sz w:val="20"/>
          <w:lang w:val="de-DE"/>
        </w:rPr>
        <w:t>Unerwartete Kommunikation vom betroffenen Gerät, etwa Spam-E-Mails oder Anfragen zur Rechteausweitung.</w:t>
      </w:r>
    </w:p>
    <w:p w14:paraId="7ACD58FE" w14:textId="77777777" w:rsidR="0038404F" w:rsidRPr="009409C5" w:rsidRDefault="00E61F6A" w:rsidP="009748A1">
      <w:pPr>
        <w:pStyle w:val="ListBullet"/>
        <w:numPr>
          <w:ilvl w:val="0"/>
          <w:numId w:val="11"/>
        </w:numPr>
        <w:spacing w:after="40"/>
        <w:rPr>
          <w:lang w:val="de-DE"/>
        </w:rPr>
      </w:pPr>
      <w:r w:rsidRPr="009409C5">
        <w:rPr>
          <w:sz w:val="20"/>
          <w:lang w:val="de-DE"/>
        </w:rPr>
        <w:t>Eine Strafverfolgungsbehörde oder andere Stelle meldet schädlichen Datenverkehr oder Ähnliches aus der Unternehmensinfrastruktur.</w:t>
      </w:r>
    </w:p>
    <w:p w14:paraId="32DC0BC6" w14:textId="77777777" w:rsidR="0038404F" w:rsidRPr="009409C5" w:rsidRDefault="00E61F6A" w:rsidP="009748A1">
      <w:pPr>
        <w:pStyle w:val="ListBullet"/>
        <w:numPr>
          <w:ilvl w:val="0"/>
          <w:numId w:val="11"/>
        </w:numPr>
        <w:spacing w:after="40"/>
        <w:rPr>
          <w:lang w:val="de-DE"/>
        </w:rPr>
      </w:pPr>
      <w:r w:rsidRPr="009409C5">
        <w:rPr>
          <w:sz w:val="20"/>
          <w:lang w:val="de-DE"/>
        </w:rPr>
        <w:t>Manuelle Erkennung durch das IT-Administrationsteam.</w:t>
      </w:r>
    </w:p>
    <w:p w14:paraId="46F60B90" w14:textId="77777777" w:rsidR="009748A1" w:rsidRPr="009748A1" w:rsidRDefault="00E61F6A">
      <w:pPr>
        <w:pStyle w:val="ListBullet"/>
        <w:spacing w:after="40"/>
        <w:rPr>
          <w:lang w:val="de-DE"/>
        </w:rPr>
      </w:pPr>
      <w:r w:rsidRPr="009409C5">
        <w:rPr>
          <w:b/>
          <w:sz w:val="20"/>
          <w:lang w:val="de-DE"/>
        </w:rPr>
        <w:t>SIEM- und/oder SOAR-Warnungen:</w:t>
      </w:r>
      <w:r w:rsidRPr="009409C5">
        <w:rPr>
          <w:sz w:val="20"/>
          <w:lang w:val="de-DE"/>
        </w:rPr>
        <w:t xml:space="preserve"> </w:t>
      </w:r>
    </w:p>
    <w:p w14:paraId="3EBC7C61" w14:textId="4DD38730" w:rsidR="0038404F" w:rsidRPr="009409C5" w:rsidRDefault="00E61F6A" w:rsidP="009748A1">
      <w:pPr>
        <w:pStyle w:val="ListBullet"/>
        <w:numPr>
          <w:ilvl w:val="0"/>
          <w:numId w:val="13"/>
        </w:numPr>
        <w:spacing w:after="40"/>
        <w:rPr>
          <w:lang w:val="de-DE"/>
        </w:rPr>
      </w:pPr>
      <w:r w:rsidRPr="009409C5">
        <w:rPr>
          <w:sz w:val="20"/>
          <w:lang w:val="de-DE"/>
        </w:rPr>
        <w:t>Das Gerät, das versucht, Malware auszuführen oder zu installieren, kann Warnungen in Sicherheitsüberwachungssystemen auslösen, entweder direkt durch erkannten schädlichen Code oder indirekt durch Aktionen der Malware.</w:t>
      </w:r>
    </w:p>
    <w:p w14:paraId="3EBAEBC7" w14:textId="77777777" w:rsidR="009748A1" w:rsidRPr="009748A1" w:rsidRDefault="00E61F6A" w:rsidP="009748A1">
      <w:pPr>
        <w:pStyle w:val="ListBullet"/>
        <w:numPr>
          <w:ilvl w:val="0"/>
          <w:numId w:val="13"/>
        </w:numPr>
        <w:spacing w:after="40"/>
        <w:rPr>
          <w:lang w:val="de-DE"/>
        </w:rPr>
      </w:pPr>
      <w:r w:rsidRPr="009409C5">
        <w:rPr>
          <w:sz w:val="20"/>
          <w:lang w:val="de-DE"/>
        </w:rPr>
        <w:t>Beispiele für SOC-/SIEM-Warnungen sind</w:t>
      </w:r>
      <w:r w:rsidR="009748A1">
        <w:rPr>
          <w:sz w:val="20"/>
          <w:lang w:val="de-DE"/>
        </w:rPr>
        <w:t>:</w:t>
      </w:r>
    </w:p>
    <w:p w14:paraId="6C960335" w14:textId="77777777" w:rsidR="009748A1" w:rsidRPr="009748A1" w:rsidRDefault="00E61F6A" w:rsidP="009748A1">
      <w:pPr>
        <w:pStyle w:val="ListBullet"/>
        <w:numPr>
          <w:ilvl w:val="0"/>
          <w:numId w:val="14"/>
        </w:numPr>
        <w:spacing w:after="40"/>
        <w:rPr>
          <w:lang w:val="de-DE"/>
        </w:rPr>
      </w:pPr>
      <w:r w:rsidRPr="009409C5">
        <w:rPr>
          <w:sz w:val="20"/>
          <w:lang w:val="de-DE"/>
        </w:rPr>
        <w:t>laterale Bewegung,</w:t>
      </w:r>
    </w:p>
    <w:p w14:paraId="4B2652A6" w14:textId="77777777" w:rsidR="009748A1" w:rsidRPr="009748A1" w:rsidRDefault="00E61F6A" w:rsidP="009748A1">
      <w:pPr>
        <w:pStyle w:val="ListBullet"/>
        <w:numPr>
          <w:ilvl w:val="0"/>
          <w:numId w:val="14"/>
        </w:numPr>
        <w:spacing w:after="40"/>
        <w:rPr>
          <w:lang w:val="de-DE"/>
        </w:rPr>
      </w:pPr>
      <w:r w:rsidRPr="009409C5">
        <w:rPr>
          <w:sz w:val="20"/>
          <w:lang w:val="de-DE"/>
        </w:rPr>
        <w:t xml:space="preserve">verdächtige PowerShell-Befehle, </w:t>
      </w:r>
    </w:p>
    <w:p w14:paraId="0C2883ED" w14:textId="77777777" w:rsidR="009748A1" w:rsidRPr="009748A1" w:rsidRDefault="00E61F6A" w:rsidP="009748A1">
      <w:pPr>
        <w:pStyle w:val="ListBullet"/>
        <w:numPr>
          <w:ilvl w:val="0"/>
          <w:numId w:val="14"/>
        </w:numPr>
        <w:spacing w:after="40"/>
        <w:rPr>
          <w:lang w:val="de-DE"/>
        </w:rPr>
      </w:pPr>
      <w:r w:rsidRPr="009409C5">
        <w:rPr>
          <w:sz w:val="20"/>
          <w:lang w:val="de-DE"/>
        </w:rPr>
        <w:t xml:space="preserve">Rechteausweitung oder neue Kontenerstellung, </w:t>
      </w:r>
    </w:p>
    <w:p w14:paraId="5584AD01" w14:textId="77777777" w:rsidR="009748A1" w:rsidRPr="009748A1" w:rsidRDefault="00E61F6A" w:rsidP="009748A1">
      <w:pPr>
        <w:pStyle w:val="ListBullet"/>
        <w:numPr>
          <w:ilvl w:val="0"/>
          <w:numId w:val="14"/>
        </w:numPr>
        <w:spacing w:after="40"/>
        <w:rPr>
          <w:lang w:val="de-DE"/>
        </w:rPr>
      </w:pPr>
      <w:r w:rsidRPr="009409C5">
        <w:rPr>
          <w:sz w:val="20"/>
          <w:lang w:val="de-DE"/>
        </w:rPr>
        <w:t xml:space="preserve">Command-and-Control-Traffic, </w:t>
      </w:r>
    </w:p>
    <w:p w14:paraId="0A3F1FB8" w14:textId="77777777" w:rsidR="009748A1" w:rsidRPr="009748A1" w:rsidRDefault="00E61F6A" w:rsidP="009748A1">
      <w:pPr>
        <w:pStyle w:val="ListBullet"/>
        <w:numPr>
          <w:ilvl w:val="0"/>
          <w:numId w:val="14"/>
        </w:numPr>
        <w:spacing w:after="40"/>
        <w:rPr>
          <w:lang w:val="de-DE"/>
        </w:rPr>
      </w:pPr>
      <w:r w:rsidRPr="009409C5">
        <w:rPr>
          <w:sz w:val="20"/>
          <w:lang w:val="de-DE"/>
        </w:rPr>
        <w:t xml:space="preserve">Installation von ausführbaren Dateien, </w:t>
      </w:r>
    </w:p>
    <w:p w14:paraId="3A825599" w14:textId="77777777" w:rsidR="009748A1" w:rsidRPr="009748A1" w:rsidRDefault="00E61F6A" w:rsidP="009748A1">
      <w:pPr>
        <w:pStyle w:val="ListBullet"/>
        <w:numPr>
          <w:ilvl w:val="0"/>
          <w:numId w:val="14"/>
        </w:numPr>
        <w:spacing w:after="40"/>
        <w:rPr>
          <w:lang w:val="de-DE"/>
        </w:rPr>
      </w:pPr>
      <w:r w:rsidRPr="009409C5">
        <w:rPr>
          <w:sz w:val="20"/>
          <w:lang w:val="de-DE"/>
        </w:rPr>
        <w:t xml:space="preserve">Erkennung spezifischer Tools wie Mimikatz oder Cobalt Strike sowie </w:t>
      </w:r>
    </w:p>
    <w:p w14:paraId="5FFC59B9" w14:textId="32B08F9D" w:rsidR="0038404F" w:rsidRPr="009409C5" w:rsidRDefault="00E61F6A" w:rsidP="009748A1">
      <w:pPr>
        <w:pStyle w:val="ListBullet"/>
        <w:numPr>
          <w:ilvl w:val="0"/>
          <w:numId w:val="14"/>
        </w:numPr>
        <w:spacing w:after="40"/>
        <w:rPr>
          <w:lang w:val="de-DE"/>
        </w:rPr>
      </w:pPr>
      <w:r w:rsidRPr="009409C5">
        <w:rPr>
          <w:sz w:val="20"/>
          <w:lang w:val="de-DE"/>
        </w:rPr>
        <w:t>Data-Loss-Prevention-Warnungen.</w:t>
      </w:r>
    </w:p>
    <w:p w14:paraId="6F0AE8CB" w14:textId="58ED420F" w:rsidR="0038404F" w:rsidRPr="00B17C32" w:rsidRDefault="009748A1">
      <w:pPr>
        <w:pStyle w:val="Heading3"/>
        <w:spacing w:before="160" w:after="80"/>
        <w:rPr>
          <w:color w:val="auto"/>
        </w:rPr>
      </w:pPr>
      <w:bookmarkStart w:id="1" w:name="_Toc239169188"/>
      <w:r>
        <w:rPr>
          <w:rFonts w:ascii="Aptos Display" w:eastAsia="Aptos Display" w:hAnsi="Aptos Display"/>
          <w:color w:val="auto"/>
        </w:rPr>
        <w:t xml:space="preserve">1.2 </w:t>
      </w:r>
      <w:r w:rsidR="00E61F6A" w:rsidRPr="00B17C32">
        <w:rPr>
          <w:rFonts w:ascii="Aptos Display" w:eastAsia="Aptos Display" w:hAnsi="Aptos Display"/>
          <w:color w:val="auto"/>
        </w:rPr>
        <w:t xml:space="preserve">Rollen und </w:t>
      </w:r>
      <w:proofErr w:type="spellStart"/>
      <w:r w:rsidR="00E61F6A" w:rsidRPr="00B17C32">
        <w:rPr>
          <w:rFonts w:ascii="Aptos Display" w:eastAsia="Aptos Display" w:hAnsi="Aptos Display"/>
          <w:color w:val="auto"/>
        </w:rPr>
        <w:t>Verantwortlichkeiten</w:t>
      </w:r>
      <w:bookmarkEnd w:id="1"/>
      <w:proofErr w:type="spellEnd"/>
    </w:p>
    <w:p w14:paraId="1091A4BE" w14:textId="77777777" w:rsidR="0038404F" w:rsidRPr="009748A1" w:rsidRDefault="00E61F6A">
      <w:pPr>
        <w:pStyle w:val="ListBullet"/>
        <w:spacing w:after="40"/>
        <w:rPr>
          <w:lang w:val="de-DE"/>
        </w:rPr>
      </w:pPr>
      <w:r w:rsidRPr="009409C5">
        <w:rPr>
          <w:b/>
          <w:sz w:val="20"/>
          <w:lang w:val="de-DE"/>
        </w:rPr>
        <w:t>Cyber Security Incident Response Team (CSIRT):</w:t>
      </w:r>
      <w:r w:rsidRPr="009409C5">
        <w:rPr>
          <w:sz w:val="20"/>
          <w:lang w:val="de-DE"/>
        </w:rPr>
        <w:t xml:space="preserve"> Rollen und Verantwortlichkeiten sind in Abschnitt 3 des Plans zur Reaktion auf Cyber-Sicherheitsvorfälle definiert.</w:t>
      </w:r>
    </w:p>
    <w:p w14:paraId="04581099" w14:textId="77777777" w:rsidR="009748A1" w:rsidRDefault="009748A1" w:rsidP="009748A1">
      <w:pPr>
        <w:pStyle w:val="ListBullet"/>
        <w:numPr>
          <w:ilvl w:val="0"/>
          <w:numId w:val="0"/>
        </w:numPr>
        <w:spacing w:after="40"/>
        <w:ind w:left="360" w:hanging="360"/>
        <w:rPr>
          <w:lang w:val="de-DE"/>
        </w:rPr>
      </w:pPr>
    </w:p>
    <w:p w14:paraId="044C2084" w14:textId="77777777" w:rsidR="009748A1" w:rsidRDefault="009748A1" w:rsidP="009748A1">
      <w:pPr>
        <w:pStyle w:val="ListBullet"/>
        <w:numPr>
          <w:ilvl w:val="0"/>
          <w:numId w:val="0"/>
        </w:numPr>
        <w:spacing w:after="40"/>
        <w:ind w:left="360" w:hanging="360"/>
        <w:rPr>
          <w:lang w:val="de-DE"/>
        </w:rPr>
      </w:pPr>
    </w:p>
    <w:p w14:paraId="1509E406" w14:textId="77777777" w:rsidR="009748A1" w:rsidRDefault="009748A1" w:rsidP="009748A1">
      <w:pPr>
        <w:pStyle w:val="ListBullet"/>
        <w:numPr>
          <w:ilvl w:val="0"/>
          <w:numId w:val="0"/>
        </w:numPr>
        <w:spacing w:after="40"/>
        <w:ind w:left="360" w:hanging="360"/>
        <w:rPr>
          <w:lang w:val="de-DE"/>
        </w:rPr>
      </w:pPr>
    </w:p>
    <w:p w14:paraId="28A00770" w14:textId="77777777" w:rsidR="009748A1" w:rsidRPr="009409C5" w:rsidRDefault="009748A1" w:rsidP="009748A1">
      <w:pPr>
        <w:pStyle w:val="ListBullet"/>
        <w:numPr>
          <w:ilvl w:val="0"/>
          <w:numId w:val="0"/>
        </w:numPr>
        <w:spacing w:after="40"/>
        <w:ind w:left="360" w:hanging="360"/>
        <w:rPr>
          <w:lang w:val="de-DE"/>
        </w:rPr>
      </w:pPr>
    </w:p>
    <w:p w14:paraId="3E69BD34" w14:textId="29FF29A7" w:rsidR="0038404F" w:rsidRPr="00B17C32" w:rsidRDefault="009748A1">
      <w:pPr>
        <w:pStyle w:val="Heading3"/>
        <w:spacing w:before="160" w:after="80"/>
        <w:rPr>
          <w:color w:val="auto"/>
          <w:lang w:val="de-DE"/>
        </w:rPr>
      </w:pPr>
      <w:bookmarkStart w:id="2" w:name="_Toc239169189"/>
      <w:r>
        <w:rPr>
          <w:rFonts w:ascii="Aptos Display" w:eastAsia="Aptos Display" w:hAnsi="Aptos Display"/>
          <w:color w:val="auto"/>
          <w:lang w:val="de-DE"/>
        </w:rPr>
        <w:lastRenderedPageBreak/>
        <w:t xml:space="preserve">1.3 </w:t>
      </w:r>
      <w:r w:rsidR="00E61F6A" w:rsidRPr="00B17C32">
        <w:rPr>
          <w:rFonts w:ascii="Aptos Display" w:eastAsia="Aptos Display" w:hAnsi="Aptos Display"/>
          <w:color w:val="auto"/>
          <w:lang w:val="de-DE"/>
        </w:rPr>
        <w:t>Reaktionsschritte</w:t>
      </w:r>
      <w:bookmarkEnd w:id="2"/>
    </w:p>
    <w:p w14:paraId="798C45DC" w14:textId="77777777" w:rsidR="0038404F" w:rsidRPr="009409C5" w:rsidRDefault="00E61F6A">
      <w:pPr>
        <w:spacing w:after="100" w:line="254" w:lineRule="auto"/>
        <w:rPr>
          <w:lang w:val="de-DE"/>
        </w:rPr>
      </w:pPr>
      <w:r w:rsidRPr="009409C5">
        <w:rPr>
          <w:lang w:val="de-DE"/>
        </w:rPr>
        <w:t>Ein Ablaufdiagramm mit zusätzlichen Leitlinien ist am Ende dieses Playbooks enthalten.</w:t>
      </w:r>
    </w:p>
    <w:p w14:paraId="1560FE30" w14:textId="77777777" w:rsidR="0038404F" w:rsidRPr="009409C5" w:rsidRDefault="00E61F6A">
      <w:pPr>
        <w:spacing w:before="100" w:after="40" w:line="254" w:lineRule="auto"/>
        <w:rPr>
          <w:lang w:val="de-DE"/>
        </w:rPr>
      </w:pPr>
      <w:r w:rsidRPr="009409C5">
        <w:rPr>
          <w:b/>
          <w:lang w:val="de-DE"/>
        </w:rPr>
        <w:t>Triage</w:t>
      </w:r>
    </w:p>
    <w:p w14:paraId="45043541" w14:textId="77777777" w:rsidR="0038404F" w:rsidRPr="009409C5" w:rsidRDefault="00E61F6A">
      <w:pPr>
        <w:spacing w:after="100" w:line="254" w:lineRule="auto"/>
        <w:rPr>
          <w:lang w:val="de-DE"/>
        </w:rPr>
      </w:pPr>
      <w:r w:rsidRPr="009409C5">
        <w:rPr>
          <w:lang w:val="de-DE"/>
        </w:rPr>
        <w:t>Erste reaktive Maßnahmen zur Feststellung von Umfang, Auswirkung und Schweregrad umfassen:</w:t>
      </w:r>
    </w:p>
    <w:p w14:paraId="0947D221" w14:textId="77777777" w:rsidR="009748A1" w:rsidRPr="009748A1" w:rsidRDefault="00E61F6A">
      <w:pPr>
        <w:pStyle w:val="ListBullet"/>
        <w:spacing w:after="40"/>
        <w:rPr>
          <w:lang w:val="de-DE"/>
        </w:rPr>
      </w:pPr>
      <w:r w:rsidRPr="009409C5">
        <w:rPr>
          <w:b/>
          <w:sz w:val="20"/>
          <w:lang w:val="de-DE"/>
        </w:rPr>
        <w:t>Erste Verifizierung:</w:t>
      </w:r>
      <w:r w:rsidRPr="009409C5">
        <w:rPr>
          <w:sz w:val="20"/>
          <w:lang w:val="de-DE"/>
        </w:rPr>
        <w:t xml:space="preserve"> </w:t>
      </w:r>
    </w:p>
    <w:p w14:paraId="0DB2A28B" w14:textId="77777777" w:rsidR="009748A1" w:rsidRPr="009748A1" w:rsidRDefault="00E61F6A" w:rsidP="009748A1">
      <w:pPr>
        <w:pStyle w:val="ListBullet"/>
        <w:numPr>
          <w:ilvl w:val="0"/>
          <w:numId w:val="15"/>
        </w:numPr>
        <w:spacing w:after="40"/>
        <w:rPr>
          <w:lang w:val="de-DE"/>
        </w:rPr>
      </w:pPr>
      <w:r w:rsidRPr="009409C5">
        <w:rPr>
          <w:sz w:val="20"/>
          <w:lang w:val="de-DE"/>
        </w:rPr>
        <w:t xml:space="preserve">Erkennungsmechanismus prüfen, z. B. SOC-/SIEM-Warnung, Nutzerhinweis oder verschlüsselte Dateien; </w:t>
      </w:r>
    </w:p>
    <w:p w14:paraId="73BF329C" w14:textId="77777777" w:rsidR="009748A1" w:rsidRPr="009748A1" w:rsidRDefault="00E61F6A" w:rsidP="009748A1">
      <w:pPr>
        <w:pStyle w:val="ListBullet"/>
        <w:numPr>
          <w:ilvl w:val="0"/>
          <w:numId w:val="15"/>
        </w:numPr>
        <w:spacing w:after="40"/>
        <w:rPr>
          <w:lang w:val="de-DE"/>
        </w:rPr>
      </w:pPr>
      <w:r w:rsidRPr="009409C5">
        <w:rPr>
          <w:sz w:val="20"/>
          <w:lang w:val="de-DE"/>
        </w:rPr>
        <w:t xml:space="preserve">initialen Bereitstellungsmechanismus soweit möglich feststellen; </w:t>
      </w:r>
    </w:p>
    <w:p w14:paraId="3389C236" w14:textId="77777777" w:rsidR="009748A1" w:rsidRPr="009748A1" w:rsidRDefault="00E61F6A" w:rsidP="009748A1">
      <w:pPr>
        <w:pStyle w:val="ListBullet"/>
        <w:numPr>
          <w:ilvl w:val="0"/>
          <w:numId w:val="15"/>
        </w:numPr>
        <w:spacing w:after="40"/>
        <w:rPr>
          <w:lang w:val="de-DE"/>
        </w:rPr>
      </w:pPr>
      <w:r w:rsidRPr="009409C5">
        <w:rPr>
          <w:sz w:val="20"/>
          <w:lang w:val="de-DE"/>
        </w:rPr>
        <w:t xml:space="preserve">betroffene Benutzerkonten bestimmen; </w:t>
      </w:r>
    </w:p>
    <w:p w14:paraId="76C95A56" w14:textId="77777777" w:rsidR="009748A1" w:rsidRPr="009748A1" w:rsidRDefault="00E61F6A" w:rsidP="009748A1">
      <w:pPr>
        <w:pStyle w:val="ListBullet"/>
        <w:numPr>
          <w:ilvl w:val="0"/>
          <w:numId w:val="15"/>
        </w:numPr>
        <w:spacing w:after="40"/>
        <w:rPr>
          <w:lang w:val="de-DE"/>
        </w:rPr>
      </w:pPr>
      <w:r w:rsidRPr="009409C5">
        <w:rPr>
          <w:sz w:val="20"/>
          <w:lang w:val="de-DE"/>
        </w:rPr>
        <w:t xml:space="preserve">anfänglichen Infektionsumfang identifizieren, einschließlich Anzahl der Geräte und möglicher Ausbreitung; </w:t>
      </w:r>
    </w:p>
    <w:p w14:paraId="5C7EEB0F" w14:textId="77777777" w:rsidR="009748A1" w:rsidRPr="009748A1" w:rsidRDefault="00E61F6A" w:rsidP="009748A1">
      <w:pPr>
        <w:pStyle w:val="ListBullet"/>
        <w:numPr>
          <w:ilvl w:val="0"/>
          <w:numId w:val="15"/>
        </w:numPr>
        <w:spacing w:after="40"/>
        <w:rPr>
          <w:lang w:val="de-DE"/>
        </w:rPr>
      </w:pPr>
      <w:r w:rsidRPr="009409C5">
        <w:rPr>
          <w:sz w:val="20"/>
          <w:lang w:val="de-DE"/>
        </w:rPr>
        <w:t xml:space="preserve">prüfen, ob Malware durch Anti-Malware-Funktionen in Quarantäne gestellt oder blockiert wurde; </w:t>
      </w:r>
    </w:p>
    <w:p w14:paraId="4D7BD2D5" w14:textId="259B93B9" w:rsidR="0038404F" w:rsidRPr="009748A1" w:rsidRDefault="00E61F6A" w:rsidP="009748A1">
      <w:pPr>
        <w:pStyle w:val="ListBullet"/>
        <w:numPr>
          <w:ilvl w:val="0"/>
          <w:numId w:val="15"/>
        </w:numPr>
        <w:spacing w:after="40"/>
        <w:rPr>
          <w:lang w:val="de-DE"/>
        </w:rPr>
      </w:pPr>
      <w:r w:rsidRPr="009409C5">
        <w:rPr>
          <w:sz w:val="20"/>
          <w:lang w:val="de-DE"/>
        </w:rPr>
        <w:t>bei Zustellung per E-Mail weitere Empfänger prüfen.</w:t>
      </w:r>
    </w:p>
    <w:p w14:paraId="3573FB6E" w14:textId="77777777" w:rsidR="009748A1" w:rsidRPr="009409C5" w:rsidRDefault="009748A1" w:rsidP="009748A1">
      <w:pPr>
        <w:pStyle w:val="ListBullet"/>
        <w:numPr>
          <w:ilvl w:val="0"/>
          <w:numId w:val="0"/>
        </w:numPr>
        <w:spacing w:after="40"/>
        <w:ind w:left="360" w:hanging="360"/>
        <w:rPr>
          <w:lang w:val="de-DE"/>
        </w:rPr>
      </w:pPr>
    </w:p>
    <w:p w14:paraId="29FEFE9B" w14:textId="77777777" w:rsidR="009748A1" w:rsidRPr="009748A1" w:rsidRDefault="00E61F6A">
      <w:pPr>
        <w:pStyle w:val="ListBullet"/>
        <w:spacing w:after="40"/>
        <w:rPr>
          <w:lang w:val="de-DE"/>
        </w:rPr>
      </w:pPr>
      <w:r w:rsidRPr="009409C5">
        <w:rPr>
          <w:b/>
          <w:sz w:val="20"/>
          <w:lang w:val="de-DE"/>
        </w:rPr>
        <w:t>Bewertung der Geschäftsauswirkung:</w:t>
      </w:r>
      <w:r w:rsidRPr="009409C5">
        <w:rPr>
          <w:sz w:val="20"/>
          <w:lang w:val="de-DE"/>
        </w:rPr>
        <w:t xml:space="preserve"> </w:t>
      </w:r>
    </w:p>
    <w:p w14:paraId="22541584" w14:textId="3D8171FE" w:rsidR="0038404F" w:rsidRPr="009409C5" w:rsidRDefault="00E61F6A" w:rsidP="009748A1">
      <w:pPr>
        <w:pStyle w:val="ListBullet"/>
        <w:numPr>
          <w:ilvl w:val="0"/>
          <w:numId w:val="16"/>
        </w:numPr>
        <w:spacing w:after="40"/>
        <w:rPr>
          <w:lang w:val="de-DE"/>
        </w:rPr>
      </w:pPr>
      <w:r w:rsidRPr="009409C5">
        <w:rPr>
          <w:sz w:val="20"/>
          <w:lang w:val="de-DE"/>
        </w:rPr>
        <w:t>Wenn tägliche Geschäftsabläufe betroffen sein können, sollten Business-Continuity-Pläne entsprechend der Schwere des Vorfalls aktiviert werden.</w:t>
      </w:r>
    </w:p>
    <w:p w14:paraId="4D4EA097" w14:textId="77777777" w:rsidR="009748A1" w:rsidRPr="009748A1" w:rsidRDefault="009748A1" w:rsidP="009748A1">
      <w:pPr>
        <w:pStyle w:val="ListBullet"/>
        <w:numPr>
          <w:ilvl w:val="0"/>
          <w:numId w:val="0"/>
        </w:numPr>
        <w:spacing w:after="40"/>
        <w:ind w:left="360"/>
        <w:rPr>
          <w:lang w:val="de-DE"/>
        </w:rPr>
      </w:pPr>
    </w:p>
    <w:p w14:paraId="587E61CB" w14:textId="77777777" w:rsidR="009748A1" w:rsidRPr="009748A1" w:rsidRDefault="00E61F6A">
      <w:pPr>
        <w:pStyle w:val="ListBullet"/>
        <w:spacing w:after="40"/>
        <w:rPr>
          <w:lang w:val="de-DE"/>
        </w:rPr>
      </w:pPr>
      <w:r w:rsidRPr="009409C5">
        <w:rPr>
          <w:b/>
          <w:sz w:val="20"/>
          <w:lang w:val="de-DE"/>
        </w:rPr>
        <w:t>Dokumentation erster IoCs:</w:t>
      </w:r>
      <w:r w:rsidRPr="009409C5">
        <w:rPr>
          <w:sz w:val="20"/>
          <w:lang w:val="de-DE"/>
        </w:rPr>
        <w:t xml:space="preserve"> </w:t>
      </w:r>
    </w:p>
    <w:p w14:paraId="48785170" w14:textId="77777777" w:rsidR="009748A1" w:rsidRDefault="00E61F6A" w:rsidP="009748A1">
      <w:pPr>
        <w:pStyle w:val="ListBullet"/>
        <w:numPr>
          <w:ilvl w:val="0"/>
          <w:numId w:val="17"/>
        </w:numPr>
        <w:spacing w:after="40"/>
        <w:rPr>
          <w:lang w:val="de-DE"/>
        </w:rPr>
      </w:pPr>
      <w:r w:rsidRPr="009409C5">
        <w:rPr>
          <w:sz w:val="20"/>
          <w:lang w:val="de-DE"/>
        </w:rPr>
        <w:t>Erste beobachtete Indicators of Compromise erfassen, einschließlich</w:t>
      </w:r>
      <w:r w:rsidR="009748A1">
        <w:rPr>
          <w:sz w:val="20"/>
          <w:lang w:val="de-DE"/>
        </w:rPr>
        <w:t>:</w:t>
      </w:r>
    </w:p>
    <w:p w14:paraId="052414FC" w14:textId="77777777" w:rsidR="009748A1" w:rsidRPr="009748A1" w:rsidRDefault="00E61F6A" w:rsidP="009748A1">
      <w:pPr>
        <w:pStyle w:val="ListBullet"/>
        <w:numPr>
          <w:ilvl w:val="0"/>
          <w:numId w:val="18"/>
        </w:numPr>
        <w:spacing w:after="40"/>
        <w:rPr>
          <w:lang w:val="de-DE"/>
        </w:rPr>
      </w:pPr>
      <w:r w:rsidRPr="009748A1">
        <w:rPr>
          <w:sz w:val="20"/>
          <w:lang w:val="de-DE"/>
        </w:rPr>
        <w:t xml:space="preserve">IP-Adressen, </w:t>
      </w:r>
    </w:p>
    <w:p w14:paraId="128F0212" w14:textId="77777777" w:rsidR="009748A1" w:rsidRPr="009748A1" w:rsidRDefault="00E61F6A" w:rsidP="009748A1">
      <w:pPr>
        <w:pStyle w:val="ListBullet"/>
        <w:numPr>
          <w:ilvl w:val="0"/>
          <w:numId w:val="18"/>
        </w:numPr>
        <w:spacing w:after="40"/>
        <w:rPr>
          <w:lang w:val="de-DE"/>
        </w:rPr>
      </w:pPr>
      <w:r w:rsidRPr="009748A1">
        <w:rPr>
          <w:sz w:val="20"/>
          <w:lang w:val="de-DE"/>
        </w:rPr>
        <w:t xml:space="preserve">URLs und Weiterleitungen, </w:t>
      </w:r>
    </w:p>
    <w:p w14:paraId="5DA02A38" w14:textId="77777777" w:rsidR="009748A1" w:rsidRPr="009748A1" w:rsidRDefault="00E61F6A" w:rsidP="009748A1">
      <w:pPr>
        <w:pStyle w:val="ListBullet"/>
        <w:numPr>
          <w:ilvl w:val="0"/>
          <w:numId w:val="18"/>
        </w:numPr>
        <w:spacing w:after="40"/>
        <w:rPr>
          <w:lang w:val="de-DE"/>
        </w:rPr>
      </w:pPr>
      <w:r w:rsidRPr="009748A1">
        <w:rPr>
          <w:sz w:val="20"/>
          <w:lang w:val="de-DE"/>
        </w:rPr>
        <w:t xml:space="preserve">Domains, </w:t>
      </w:r>
    </w:p>
    <w:p w14:paraId="321E2D19" w14:textId="77777777" w:rsidR="009748A1" w:rsidRPr="009748A1" w:rsidRDefault="00E61F6A" w:rsidP="009748A1">
      <w:pPr>
        <w:pStyle w:val="ListBullet"/>
        <w:numPr>
          <w:ilvl w:val="0"/>
          <w:numId w:val="18"/>
        </w:numPr>
        <w:spacing w:after="40"/>
        <w:rPr>
          <w:lang w:val="de-DE"/>
        </w:rPr>
      </w:pPr>
      <w:r w:rsidRPr="009748A1">
        <w:rPr>
          <w:sz w:val="20"/>
          <w:lang w:val="de-DE"/>
        </w:rPr>
        <w:t xml:space="preserve">Websites, </w:t>
      </w:r>
    </w:p>
    <w:p w14:paraId="1AA35D0E" w14:textId="77777777" w:rsidR="009748A1" w:rsidRPr="009748A1" w:rsidRDefault="00E61F6A" w:rsidP="009748A1">
      <w:pPr>
        <w:pStyle w:val="ListBullet"/>
        <w:numPr>
          <w:ilvl w:val="0"/>
          <w:numId w:val="18"/>
        </w:numPr>
        <w:spacing w:after="40"/>
        <w:rPr>
          <w:lang w:val="de-DE"/>
        </w:rPr>
      </w:pPr>
      <w:r w:rsidRPr="009748A1">
        <w:rPr>
          <w:sz w:val="20"/>
          <w:lang w:val="de-DE"/>
        </w:rPr>
        <w:t xml:space="preserve">Namen und Typen ausführbarer Dateien, </w:t>
      </w:r>
    </w:p>
    <w:p w14:paraId="0DBCC433" w14:textId="77777777" w:rsidR="009748A1" w:rsidRPr="009748A1" w:rsidRDefault="00E61F6A" w:rsidP="009748A1">
      <w:pPr>
        <w:pStyle w:val="ListBullet"/>
        <w:numPr>
          <w:ilvl w:val="0"/>
          <w:numId w:val="18"/>
        </w:numPr>
        <w:spacing w:after="40"/>
        <w:rPr>
          <w:lang w:val="de-DE"/>
        </w:rPr>
      </w:pPr>
      <w:r w:rsidRPr="009748A1">
        <w:rPr>
          <w:sz w:val="20"/>
          <w:lang w:val="de-DE"/>
        </w:rPr>
        <w:t xml:space="preserve">Dateinamen, </w:t>
      </w:r>
    </w:p>
    <w:p w14:paraId="58F1EDF5" w14:textId="77777777" w:rsidR="009748A1" w:rsidRPr="009748A1" w:rsidRDefault="00E61F6A" w:rsidP="009748A1">
      <w:pPr>
        <w:pStyle w:val="ListBullet"/>
        <w:numPr>
          <w:ilvl w:val="0"/>
          <w:numId w:val="18"/>
        </w:numPr>
        <w:spacing w:after="40"/>
        <w:rPr>
          <w:lang w:val="de-DE"/>
        </w:rPr>
      </w:pPr>
      <w:r w:rsidRPr="009748A1">
        <w:rPr>
          <w:sz w:val="20"/>
          <w:lang w:val="de-DE"/>
        </w:rPr>
        <w:t xml:space="preserve">Datei-Hashes, </w:t>
      </w:r>
    </w:p>
    <w:p w14:paraId="0ECA1E28" w14:textId="1DBF8F87" w:rsidR="0038404F" w:rsidRPr="009748A1" w:rsidRDefault="00E61F6A" w:rsidP="009748A1">
      <w:pPr>
        <w:pStyle w:val="ListBullet"/>
        <w:numPr>
          <w:ilvl w:val="0"/>
          <w:numId w:val="18"/>
        </w:numPr>
        <w:spacing w:after="40"/>
        <w:rPr>
          <w:lang w:val="de-DE"/>
        </w:rPr>
      </w:pPr>
      <w:r w:rsidRPr="009748A1">
        <w:rPr>
          <w:sz w:val="20"/>
          <w:lang w:val="de-DE"/>
        </w:rPr>
        <w:t>E-Mail-Betreff und E-Mail-Absender einschließlich Header-Prüfung.</w:t>
      </w:r>
    </w:p>
    <w:p w14:paraId="1C217927" w14:textId="77777777" w:rsidR="009748A1" w:rsidRPr="009748A1" w:rsidRDefault="009748A1" w:rsidP="009748A1">
      <w:pPr>
        <w:pStyle w:val="ListBullet"/>
        <w:numPr>
          <w:ilvl w:val="0"/>
          <w:numId w:val="0"/>
        </w:numPr>
        <w:spacing w:after="40"/>
        <w:ind w:left="720"/>
        <w:rPr>
          <w:lang w:val="de-DE"/>
        </w:rPr>
      </w:pPr>
    </w:p>
    <w:p w14:paraId="744ADD73" w14:textId="77777777" w:rsidR="009748A1" w:rsidRPr="009748A1" w:rsidRDefault="00E61F6A">
      <w:pPr>
        <w:pStyle w:val="ListBullet"/>
        <w:spacing w:after="40"/>
        <w:rPr>
          <w:lang w:val="de-DE"/>
        </w:rPr>
      </w:pPr>
      <w:r w:rsidRPr="009409C5">
        <w:rPr>
          <w:b/>
          <w:sz w:val="20"/>
          <w:lang w:val="de-DE"/>
        </w:rPr>
        <w:t>Erstellung einer ersten Ereignis-Timeline:</w:t>
      </w:r>
      <w:r w:rsidRPr="009409C5">
        <w:rPr>
          <w:sz w:val="20"/>
          <w:lang w:val="de-DE"/>
        </w:rPr>
        <w:t xml:space="preserve"> </w:t>
      </w:r>
    </w:p>
    <w:p w14:paraId="6CB75CA6" w14:textId="77777777" w:rsidR="009748A1" w:rsidRPr="009748A1" w:rsidRDefault="00E61F6A" w:rsidP="009748A1">
      <w:pPr>
        <w:pStyle w:val="ListBullet"/>
        <w:numPr>
          <w:ilvl w:val="0"/>
          <w:numId w:val="19"/>
        </w:numPr>
        <w:spacing w:after="40"/>
        <w:rPr>
          <w:lang w:val="de-DE"/>
        </w:rPr>
      </w:pPr>
      <w:r w:rsidRPr="009409C5">
        <w:rPr>
          <w:sz w:val="20"/>
          <w:lang w:val="de-DE"/>
        </w:rPr>
        <w:t>Relevante Punkte dokumentieren,</w:t>
      </w:r>
      <w:r w:rsidR="009748A1">
        <w:rPr>
          <w:sz w:val="20"/>
          <w:lang w:val="de-DE"/>
        </w:rPr>
        <w:t xml:space="preserve"> wie</w:t>
      </w:r>
      <w:r w:rsidRPr="009409C5">
        <w:rPr>
          <w:sz w:val="20"/>
          <w:lang w:val="de-DE"/>
        </w:rPr>
        <w:t xml:space="preserve"> etwa</w:t>
      </w:r>
      <w:r w:rsidR="009748A1">
        <w:rPr>
          <w:sz w:val="20"/>
          <w:lang w:val="de-DE"/>
        </w:rPr>
        <w:t>:</w:t>
      </w:r>
      <w:r w:rsidRPr="009409C5">
        <w:rPr>
          <w:sz w:val="20"/>
          <w:lang w:val="de-DE"/>
        </w:rPr>
        <w:t xml:space="preserve"> </w:t>
      </w:r>
    </w:p>
    <w:p w14:paraId="74B5982D" w14:textId="77777777" w:rsidR="009748A1" w:rsidRPr="009748A1" w:rsidRDefault="00E61F6A" w:rsidP="009748A1">
      <w:pPr>
        <w:pStyle w:val="ListBullet"/>
        <w:numPr>
          <w:ilvl w:val="0"/>
          <w:numId w:val="20"/>
        </w:numPr>
        <w:spacing w:after="40"/>
        <w:rPr>
          <w:lang w:val="de-DE"/>
        </w:rPr>
      </w:pPr>
      <w:r w:rsidRPr="009409C5">
        <w:rPr>
          <w:sz w:val="20"/>
          <w:lang w:val="de-DE"/>
        </w:rPr>
        <w:t xml:space="preserve">betroffene Nutzer und Endpunkte, </w:t>
      </w:r>
    </w:p>
    <w:p w14:paraId="7AD87658" w14:textId="77777777" w:rsidR="009748A1" w:rsidRPr="009748A1" w:rsidRDefault="00E61F6A" w:rsidP="009748A1">
      <w:pPr>
        <w:pStyle w:val="ListBullet"/>
        <w:numPr>
          <w:ilvl w:val="0"/>
          <w:numId w:val="20"/>
        </w:numPr>
        <w:spacing w:after="40"/>
        <w:rPr>
          <w:lang w:val="de-DE"/>
        </w:rPr>
      </w:pPr>
      <w:r w:rsidRPr="009409C5">
        <w:rPr>
          <w:sz w:val="20"/>
          <w:lang w:val="de-DE"/>
        </w:rPr>
        <w:t>identifiziertes schädliches Verhalten,</w:t>
      </w:r>
    </w:p>
    <w:p w14:paraId="1A1ABEDA" w14:textId="77777777" w:rsidR="009748A1" w:rsidRPr="009748A1" w:rsidRDefault="00E61F6A" w:rsidP="009748A1">
      <w:pPr>
        <w:pStyle w:val="ListBullet"/>
        <w:numPr>
          <w:ilvl w:val="0"/>
          <w:numId w:val="20"/>
        </w:numPr>
        <w:spacing w:after="40"/>
        <w:rPr>
          <w:lang w:val="de-DE"/>
        </w:rPr>
      </w:pPr>
      <w:r w:rsidRPr="009409C5">
        <w:rPr>
          <w:sz w:val="20"/>
          <w:lang w:val="de-DE"/>
        </w:rPr>
        <w:t>sonstige betroffene Assets,</w:t>
      </w:r>
    </w:p>
    <w:p w14:paraId="3BFED2B6" w14:textId="77777777" w:rsidR="009748A1" w:rsidRPr="009748A1" w:rsidRDefault="00E61F6A" w:rsidP="009748A1">
      <w:pPr>
        <w:pStyle w:val="ListBullet"/>
        <w:numPr>
          <w:ilvl w:val="0"/>
          <w:numId w:val="20"/>
        </w:numPr>
        <w:spacing w:after="40"/>
        <w:rPr>
          <w:lang w:val="de-DE"/>
        </w:rPr>
      </w:pPr>
      <w:r w:rsidRPr="009409C5">
        <w:rPr>
          <w:sz w:val="20"/>
          <w:lang w:val="de-DE"/>
        </w:rPr>
        <w:t xml:space="preserve">Zeitstempel relevanter Aktionen, </w:t>
      </w:r>
    </w:p>
    <w:p w14:paraId="5522E8B4" w14:textId="77777777" w:rsidR="009748A1" w:rsidRPr="009748A1" w:rsidRDefault="00E61F6A" w:rsidP="009748A1">
      <w:pPr>
        <w:pStyle w:val="ListBullet"/>
        <w:numPr>
          <w:ilvl w:val="0"/>
          <w:numId w:val="20"/>
        </w:numPr>
        <w:spacing w:after="40"/>
        <w:rPr>
          <w:lang w:val="de-DE"/>
        </w:rPr>
      </w:pPr>
      <w:r w:rsidRPr="009409C5">
        <w:rPr>
          <w:sz w:val="20"/>
          <w:lang w:val="de-DE"/>
        </w:rPr>
        <w:t xml:space="preserve">Auswirkungen der Nichtverfügbarkeit von Assets sowie </w:t>
      </w:r>
    </w:p>
    <w:p w14:paraId="7AF396A8" w14:textId="39E65A4C" w:rsidR="0038404F" w:rsidRPr="009748A1" w:rsidRDefault="00E61F6A" w:rsidP="009748A1">
      <w:pPr>
        <w:pStyle w:val="ListBullet"/>
        <w:numPr>
          <w:ilvl w:val="0"/>
          <w:numId w:val="20"/>
        </w:numPr>
        <w:spacing w:after="40"/>
        <w:rPr>
          <w:lang w:val="de-DE"/>
        </w:rPr>
      </w:pPr>
      <w:r w:rsidRPr="009409C5">
        <w:rPr>
          <w:sz w:val="20"/>
          <w:lang w:val="de-DE"/>
        </w:rPr>
        <w:t>kurze Aussagen betroffener Nutzer oder Geräteeigentümer zu durchgeführten Handlungen, z. B. Öffnen eines Anhangs oder Interaktion mit Anmeldeseiten.</w:t>
      </w:r>
    </w:p>
    <w:p w14:paraId="762F9743" w14:textId="77777777" w:rsidR="009748A1" w:rsidRPr="009409C5" w:rsidRDefault="009748A1" w:rsidP="009748A1">
      <w:pPr>
        <w:pStyle w:val="ListBullet"/>
        <w:numPr>
          <w:ilvl w:val="0"/>
          <w:numId w:val="0"/>
        </w:numPr>
        <w:spacing w:after="40"/>
        <w:ind w:left="360"/>
        <w:rPr>
          <w:lang w:val="de-DE"/>
        </w:rPr>
      </w:pPr>
    </w:p>
    <w:p w14:paraId="1AF9922B" w14:textId="7369456C" w:rsidR="009748A1" w:rsidRPr="009748A1" w:rsidRDefault="00E61F6A">
      <w:pPr>
        <w:spacing w:before="100" w:after="40" w:line="254" w:lineRule="auto"/>
        <w:rPr>
          <w:b/>
          <w:lang w:val="de-DE"/>
        </w:rPr>
      </w:pPr>
      <w:r w:rsidRPr="009409C5">
        <w:rPr>
          <w:b/>
          <w:lang w:val="de-DE"/>
        </w:rPr>
        <w:t>Eskalation</w:t>
      </w:r>
    </w:p>
    <w:p w14:paraId="68DAEE69" w14:textId="77777777" w:rsidR="0038404F" w:rsidRPr="009748A1" w:rsidRDefault="00E61F6A" w:rsidP="009748A1">
      <w:pPr>
        <w:pStyle w:val="ListParagraph"/>
        <w:numPr>
          <w:ilvl w:val="0"/>
          <w:numId w:val="21"/>
        </w:numPr>
        <w:spacing w:after="100" w:line="254" w:lineRule="auto"/>
        <w:rPr>
          <w:lang w:val="de-DE"/>
        </w:rPr>
      </w:pPr>
      <w:r w:rsidRPr="009748A1">
        <w:rPr>
          <w:lang w:val="de-DE"/>
        </w:rPr>
        <w:t>Der Vorfall sollte gemäß Abschnitt 4.3 des Plans zur Reaktion auf Cyber-Sicherheitsvorfälle eskaliert werden.</w:t>
      </w:r>
    </w:p>
    <w:p w14:paraId="19CE3FEC" w14:textId="77777777" w:rsidR="009748A1" w:rsidRPr="009409C5" w:rsidRDefault="009748A1">
      <w:pPr>
        <w:spacing w:after="100" w:line="254" w:lineRule="auto"/>
        <w:rPr>
          <w:lang w:val="de-DE"/>
        </w:rPr>
      </w:pPr>
    </w:p>
    <w:p w14:paraId="31F92011" w14:textId="77777777" w:rsidR="0038404F" w:rsidRPr="009409C5" w:rsidRDefault="00E61F6A">
      <w:pPr>
        <w:spacing w:before="100" w:after="40" w:line="254" w:lineRule="auto"/>
        <w:rPr>
          <w:lang w:val="de-DE"/>
        </w:rPr>
      </w:pPr>
      <w:r w:rsidRPr="009409C5">
        <w:rPr>
          <w:b/>
          <w:lang w:val="de-DE"/>
        </w:rPr>
        <w:t>Eindämmung</w:t>
      </w:r>
    </w:p>
    <w:p w14:paraId="3D4FF18F" w14:textId="77777777" w:rsidR="0038404F" w:rsidRDefault="00E61F6A">
      <w:pPr>
        <w:spacing w:after="100" w:line="254" w:lineRule="auto"/>
      </w:pPr>
      <w:r w:rsidRPr="009409C5">
        <w:rPr>
          <w:lang w:val="de-DE"/>
        </w:rPr>
        <w:t xml:space="preserve">Abhängig von der vorhandenen Malware-Art kann vorsorglich eine erste Eindämmung erforderlich sein, einschließlich der Isolierung potenziell betroffener Geräte von Netzwerken von </w:t>
      </w:r>
      <w:r w:rsidRPr="00B17C32">
        <w:rPr>
          <w:highlight w:val="yellow"/>
          <w:lang w:val="de-DE"/>
        </w:rPr>
        <w:t>[UNTERNEHMENSNAME],</w:t>
      </w:r>
      <w:r w:rsidRPr="009409C5">
        <w:rPr>
          <w:lang w:val="de-DE"/>
        </w:rPr>
        <w:t xml:space="preserve"> um eine weitere Infektion zu verhindern, und/oder vom Internet, um weiteren Angreiferzugriff oder Command-and-Control-Kommunikation einzuschränken. </w:t>
      </w:r>
      <w:r>
        <w:t>Weitere Eindämmungsmaßnahmen umfassen:</w:t>
      </w:r>
    </w:p>
    <w:p w14:paraId="3EF2DC6E" w14:textId="77777777" w:rsidR="0038404F" w:rsidRPr="009409C5" w:rsidRDefault="00E61F6A">
      <w:pPr>
        <w:pStyle w:val="ListBullet"/>
        <w:spacing w:after="40"/>
        <w:rPr>
          <w:lang w:val="de-DE"/>
        </w:rPr>
      </w:pPr>
      <w:r w:rsidRPr="009409C5">
        <w:rPr>
          <w:sz w:val="20"/>
          <w:lang w:val="de-DE"/>
        </w:rPr>
        <w:lastRenderedPageBreak/>
        <w:t>Anti-Malware- und Firewall-Lösungen aktualisieren und sicherstellen, dass während Triage und Analyse identifizierte Indicators of Compromise auf Anti-Malware- und Firewall-Lösungen ausgerollt werden.</w:t>
      </w:r>
    </w:p>
    <w:p w14:paraId="05FF4DDE" w14:textId="77777777" w:rsidR="0038404F" w:rsidRPr="009409C5" w:rsidRDefault="00E61F6A">
      <w:pPr>
        <w:pStyle w:val="ListBullet"/>
        <w:spacing w:after="40"/>
        <w:rPr>
          <w:lang w:val="de-DE"/>
        </w:rPr>
      </w:pPr>
      <w:r w:rsidRPr="009409C5">
        <w:rPr>
          <w:sz w:val="20"/>
          <w:lang w:val="de-DE"/>
        </w:rPr>
        <w:t>Einen unternehmensweiten Anti-Malware-Scan initiieren.</w:t>
      </w:r>
    </w:p>
    <w:p w14:paraId="2E5AF253" w14:textId="77777777" w:rsidR="0038404F" w:rsidRPr="009409C5" w:rsidRDefault="00E61F6A">
      <w:pPr>
        <w:pStyle w:val="ListBullet"/>
        <w:spacing w:after="40"/>
        <w:rPr>
          <w:lang w:val="de-DE"/>
        </w:rPr>
      </w:pPr>
      <w:r w:rsidRPr="009409C5">
        <w:rPr>
          <w:sz w:val="20"/>
          <w:lang w:val="de-DE"/>
        </w:rPr>
        <w:t>Soweit möglich ein taktisches Security Operations Centre (SOC) oder erweitertes Monitoring einrichten, um weitere Infektionen oder Reinfektionen zu verhindern.</w:t>
      </w:r>
    </w:p>
    <w:p w14:paraId="720F283A" w14:textId="77777777" w:rsidR="0038404F" w:rsidRPr="009409C5" w:rsidRDefault="00E61F6A">
      <w:pPr>
        <w:pStyle w:val="ListBullet"/>
        <w:spacing w:after="40"/>
        <w:rPr>
          <w:lang w:val="de-DE"/>
        </w:rPr>
      </w:pPr>
      <w:r w:rsidRPr="009409C5">
        <w:rPr>
          <w:sz w:val="20"/>
          <w:lang w:val="de-DE"/>
        </w:rPr>
        <w:t>Wenn Benutzerkonten als kompromittiert oder gefährdet identifiziert wurden, sollte der Zugriff bis zur weiteren Untersuchung blockiert werden.</w:t>
      </w:r>
    </w:p>
    <w:p w14:paraId="03FFEF55" w14:textId="77777777" w:rsidR="008C3B19" w:rsidRPr="008C3B19" w:rsidRDefault="00E61F6A">
      <w:pPr>
        <w:pStyle w:val="ListBullet"/>
        <w:spacing w:after="40"/>
      </w:pPr>
      <w:r w:rsidRPr="009409C5">
        <w:rPr>
          <w:sz w:val="20"/>
          <w:lang w:val="de-DE"/>
        </w:rPr>
        <w:t xml:space="preserve">Bei sensiblen Konten kann ein weniger aggressiver Ansatz genutzt werden, indem MFA oder ein Passwort-Reset für das betroffene Konto erzwungen wird. </w:t>
      </w:r>
    </w:p>
    <w:p w14:paraId="4A871D40" w14:textId="7A4A0071" w:rsidR="0038404F" w:rsidRPr="008C3B19" w:rsidRDefault="00E61F6A" w:rsidP="008C3B19">
      <w:pPr>
        <w:pStyle w:val="ListBullet"/>
        <w:numPr>
          <w:ilvl w:val="0"/>
          <w:numId w:val="22"/>
        </w:numPr>
        <w:spacing w:after="40"/>
        <w:rPr>
          <w:lang w:val="de-DE"/>
        </w:rPr>
      </w:pPr>
      <w:r w:rsidRPr="009409C5">
        <w:rPr>
          <w:sz w:val="20"/>
          <w:lang w:val="de-DE"/>
        </w:rPr>
        <w:t xml:space="preserve">Dabei ist Vorsicht geboten, da der Angreifer möglicherweise Zugriff auf das Konto hat und den Reset selbst durchführen kann. </w:t>
      </w:r>
      <w:r w:rsidRPr="008C3B19">
        <w:rPr>
          <w:sz w:val="20"/>
          <w:lang w:val="de-DE"/>
        </w:rPr>
        <w:t>Diese Konten sollten überwacht werden.</w:t>
      </w:r>
    </w:p>
    <w:p w14:paraId="3C79F48B" w14:textId="77777777" w:rsidR="0038404F" w:rsidRPr="009409C5" w:rsidRDefault="00E61F6A">
      <w:pPr>
        <w:pStyle w:val="ListBullet"/>
        <w:spacing w:after="40"/>
        <w:rPr>
          <w:lang w:val="de-DE"/>
        </w:rPr>
      </w:pPr>
      <w:r w:rsidRPr="009409C5">
        <w:rPr>
          <w:sz w:val="20"/>
          <w:lang w:val="de-DE"/>
        </w:rPr>
        <w:t>Wenn ein Benutzerkonto gesperrt wurde, sollten alle aktiven Sitzungen widerrufen werden, um weiteren Zugriff zu verhindern.</w:t>
      </w:r>
    </w:p>
    <w:p w14:paraId="2DA75F99" w14:textId="77777777" w:rsidR="0038404F" w:rsidRPr="009409C5" w:rsidRDefault="00E61F6A">
      <w:pPr>
        <w:pStyle w:val="ListBullet"/>
        <w:spacing w:after="40"/>
        <w:rPr>
          <w:lang w:val="de-DE"/>
        </w:rPr>
      </w:pPr>
      <w:r w:rsidRPr="009409C5">
        <w:rPr>
          <w:sz w:val="20"/>
          <w:lang w:val="de-DE"/>
        </w:rPr>
        <w:t>Netzwerkfreigabeprotokolle wie SMB sollten deaktiviert werden, um laterale Bewegung im Netzwerk zu verhindern.</w:t>
      </w:r>
    </w:p>
    <w:p w14:paraId="090B4807" w14:textId="77777777" w:rsidR="0038404F" w:rsidRPr="009409C5" w:rsidRDefault="00E61F6A">
      <w:pPr>
        <w:pStyle w:val="ListBullet"/>
        <w:spacing w:after="40"/>
        <w:rPr>
          <w:lang w:val="de-DE"/>
        </w:rPr>
      </w:pPr>
      <w:r w:rsidRPr="009409C5">
        <w:rPr>
          <w:sz w:val="20"/>
          <w:lang w:val="de-DE"/>
        </w:rPr>
        <w:t>Remote-Zugriffssysteme wie RDP sowie Web-Administrationsportale sind häufige Angriffsvektoren. Deaktivierung oder Allowlisting des Zugriffs kann unbefugten Zugriff verhindern und die Eindämmung unterstützen.</w:t>
      </w:r>
    </w:p>
    <w:p w14:paraId="10D6E70C" w14:textId="77777777" w:rsidR="0038404F" w:rsidRPr="009409C5" w:rsidRDefault="00E61F6A">
      <w:pPr>
        <w:spacing w:before="100" w:after="40" w:line="254" w:lineRule="auto"/>
        <w:rPr>
          <w:lang w:val="de-DE"/>
        </w:rPr>
      </w:pPr>
      <w:r w:rsidRPr="009409C5">
        <w:rPr>
          <w:b/>
          <w:lang w:val="de-DE"/>
        </w:rPr>
        <w:t>Beweissicherung</w:t>
      </w:r>
    </w:p>
    <w:p w14:paraId="1F6A7B2C" w14:textId="77777777" w:rsidR="0038404F" w:rsidRPr="009409C5" w:rsidRDefault="00E61F6A">
      <w:pPr>
        <w:spacing w:after="100" w:line="254" w:lineRule="auto"/>
        <w:rPr>
          <w:lang w:val="de-DE"/>
        </w:rPr>
      </w:pPr>
      <w:r w:rsidRPr="009409C5">
        <w:rPr>
          <w:lang w:val="de-DE"/>
        </w:rPr>
        <w:t xml:space="preserve">Die sichere Erfassung einer Kopie der Malware kann angemessen sein, insbesondere wenn die Malware nicht identifiziert ist und/oder unbekannte Aktivitäten auf Geräten von </w:t>
      </w:r>
      <w:r w:rsidRPr="00B17C32">
        <w:rPr>
          <w:highlight w:val="yellow"/>
          <w:lang w:val="de-DE"/>
        </w:rPr>
        <w:t>[UNTERNEHMENSNAME]</w:t>
      </w:r>
      <w:r w:rsidRPr="009409C5">
        <w:rPr>
          <w:lang w:val="de-DE"/>
        </w:rPr>
        <w:t xml:space="preserve"> ermöglicht haben könnte. Falls eine Analyse erforderlich sein könnte, sollte die Erfassung so früh wie möglich erfolgen, damit Löschung und Beseitigung anschließend durchgeführt werden können.</w:t>
      </w:r>
    </w:p>
    <w:p w14:paraId="53040938" w14:textId="77777777" w:rsidR="0038404F" w:rsidRDefault="00E61F6A">
      <w:pPr>
        <w:spacing w:after="100" w:line="254" w:lineRule="auto"/>
        <w:rPr>
          <w:lang w:val="de-DE"/>
        </w:rPr>
      </w:pPr>
      <w:r w:rsidRPr="009409C5">
        <w:rPr>
          <w:lang w:val="de-DE"/>
        </w:rPr>
        <w:t>Jede Malware sollte mit Vorsicht behandelt und durch Mitarbeitende oder Drittanbieter mit geeigneter Fachkompetenz über angemessen sichere Methoden abgerufen und gespeichert werden.</w:t>
      </w:r>
    </w:p>
    <w:p w14:paraId="7B60ED18" w14:textId="77777777" w:rsidR="008C3B19" w:rsidRPr="009409C5" w:rsidRDefault="008C3B19">
      <w:pPr>
        <w:spacing w:after="100" w:line="254" w:lineRule="auto"/>
        <w:rPr>
          <w:lang w:val="de-DE"/>
        </w:rPr>
      </w:pPr>
    </w:p>
    <w:p w14:paraId="5CE2990F" w14:textId="77777777" w:rsidR="0038404F" w:rsidRDefault="00E61F6A">
      <w:pPr>
        <w:spacing w:before="100" w:after="40" w:line="254" w:lineRule="auto"/>
      </w:pPr>
      <w:r>
        <w:rPr>
          <w:b/>
        </w:rPr>
        <w:t>Analyse</w:t>
      </w:r>
    </w:p>
    <w:p w14:paraId="7C16CDFB" w14:textId="77777777" w:rsidR="0038404F" w:rsidRPr="009409C5" w:rsidRDefault="00E61F6A">
      <w:pPr>
        <w:pStyle w:val="ListBullet"/>
        <w:spacing w:after="40"/>
        <w:rPr>
          <w:lang w:val="de-DE"/>
        </w:rPr>
      </w:pPr>
      <w:r w:rsidRPr="009409C5">
        <w:rPr>
          <w:sz w:val="20"/>
          <w:lang w:val="de-DE"/>
        </w:rPr>
        <w:t>Eine erste Analyse potenzieller Malware erfolgt typischerweise bei der Erkennung mithilfe standardmäßiger Sicherheitstools.</w:t>
      </w:r>
    </w:p>
    <w:p w14:paraId="11E907DA" w14:textId="77777777" w:rsidR="0038404F" w:rsidRPr="009409C5" w:rsidRDefault="00E61F6A">
      <w:pPr>
        <w:pStyle w:val="ListBullet"/>
        <w:spacing w:after="40"/>
        <w:rPr>
          <w:lang w:val="de-DE"/>
        </w:rPr>
      </w:pPr>
      <w:r w:rsidRPr="009409C5">
        <w:rPr>
          <w:sz w:val="20"/>
          <w:lang w:val="de-DE"/>
        </w:rPr>
        <w:t>Hashes oder Signaturen identifizierter Malware sollten aufgezeichnet werden, um anschließende Threat-Hunting- und Monitoring-Aktivitäten entsprechend den ersten Eindämmungsmaßnahmen zu unterstützen.</w:t>
      </w:r>
    </w:p>
    <w:p w14:paraId="33DEFECD" w14:textId="77777777" w:rsidR="0038404F" w:rsidRPr="009409C5" w:rsidRDefault="00E61F6A">
      <w:pPr>
        <w:pStyle w:val="ListBullet"/>
        <w:spacing w:after="40"/>
        <w:rPr>
          <w:lang w:val="de-DE"/>
        </w:rPr>
      </w:pPr>
      <w:r w:rsidRPr="009409C5">
        <w:rPr>
          <w:sz w:val="20"/>
          <w:lang w:val="de-DE"/>
        </w:rPr>
        <w:t>Wenn eine weitergehende detaillierte Malware-Analyse erforderlich ist, kann sie durch geeignete Experten, beispielsweise einen externen Cyber-Response-Spezialisten, durchgeführt werden.</w:t>
      </w:r>
    </w:p>
    <w:p w14:paraId="0CE1D8B1" w14:textId="77777777" w:rsidR="0038404F" w:rsidRPr="009409C5" w:rsidRDefault="00E61F6A">
      <w:pPr>
        <w:pStyle w:val="ListBullet"/>
        <w:spacing w:after="40"/>
        <w:rPr>
          <w:lang w:val="de-DE"/>
        </w:rPr>
      </w:pPr>
      <w:r w:rsidRPr="009409C5">
        <w:rPr>
          <w:sz w:val="20"/>
          <w:lang w:val="de-DE"/>
        </w:rPr>
        <w:t xml:space="preserve">Wenn die Möglichkeit besteht, dass Malware auf mehreren Geräten bereitgestellt wurde, Teil eines umfassenderen Vorfalls ist und/oder sich im Netzwerk von </w:t>
      </w:r>
      <w:r w:rsidRPr="00B17C32">
        <w:rPr>
          <w:sz w:val="20"/>
          <w:highlight w:val="yellow"/>
          <w:lang w:val="de-DE"/>
        </w:rPr>
        <w:t>[UNTERNEHMENSNAME]</w:t>
      </w:r>
      <w:r w:rsidRPr="009409C5">
        <w:rPr>
          <w:sz w:val="20"/>
          <w:lang w:val="de-DE"/>
        </w:rPr>
        <w:t xml:space="preserve"> ausgebreitet hat, sollten </w:t>
      </w:r>
      <w:r w:rsidRPr="009409C5">
        <w:rPr>
          <w:sz w:val="20"/>
          <w:lang w:val="de-DE"/>
        </w:rPr>
        <w:t>geeignete Untersuchungen und Threat Hunting durchgeführt werden, um sicherzustellen, dass der Vorfall vollständig eingedämmt wurde.</w:t>
      </w:r>
    </w:p>
    <w:p w14:paraId="4F42A616" w14:textId="77777777" w:rsidR="0038404F" w:rsidRPr="008C3B19" w:rsidRDefault="00E61F6A">
      <w:pPr>
        <w:pStyle w:val="ListBullet"/>
        <w:spacing w:after="40"/>
        <w:rPr>
          <w:lang w:val="de-DE"/>
        </w:rPr>
      </w:pPr>
      <w:r w:rsidRPr="009409C5">
        <w:rPr>
          <w:sz w:val="20"/>
          <w:lang w:val="de-DE"/>
        </w:rPr>
        <w:t xml:space="preserve">Die Untersuchung sollte auch die ursprüngliche Methode oder Route identifizieren, über die die Malware auf Geräte von </w:t>
      </w:r>
      <w:r w:rsidRPr="00B17C32">
        <w:rPr>
          <w:sz w:val="20"/>
          <w:highlight w:val="yellow"/>
          <w:lang w:val="de-DE"/>
        </w:rPr>
        <w:t>[UNTERNEHMENSNAME]</w:t>
      </w:r>
      <w:r w:rsidRPr="009409C5">
        <w:rPr>
          <w:sz w:val="20"/>
          <w:lang w:val="de-DE"/>
        </w:rPr>
        <w:t xml:space="preserve"> gelangt ist. Selbst eine kleinere Malware-Infektion kann auf eine Schwachstelle in Perimetersicherheitskontrollen hinweisen; das Nichtidentifizieren der Ursache kann zu weiteren und schwerwiegenderen Folgeangriffen führen.</w:t>
      </w:r>
    </w:p>
    <w:p w14:paraId="28EB9046" w14:textId="77777777" w:rsidR="008C3B19" w:rsidRDefault="008C3B19" w:rsidP="008C3B19">
      <w:pPr>
        <w:pStyle w:val="ListBullet"/>
        <w:numPr>
          <w:ilvl w:val="0"/>
          <w:numId w:val="0"/>
        </w:numPr>
        <w:spacing w:after="40"/>
        <w:ind w:left="360"/>
        <w:rPr>
          <w:lang w:val="de-DE"/>
        </w:rPr>
      </w:pPr>
    </w:p>
    <w:p w14:paraId="75635CC4" w14:textId="77777777" w:rsidR="005E0F3C" w:rsidRDefault="005E0F3C" w:rsidP="008C3B19">
      <w:pPr>
        <w:pStyle w:val="ListBullet"/>
        <w:numPr>
          <w:ilvl w:val="0"/>
          <w:numId w:val="0"/>
        </w:numPr>
        <w:spacing w:after="40"/>
        <w:ind w:left="360"/>
        <w:rPr>
          <w:lang w:val="de-DE"/>
        </w:rPr>
      </w:pPr>
    </w:p>
    <w:p w14:paraId="6AF3385C" w14:textId="77777777" w:rsidR="005E0F3C" w:rsidRDefault="005E0F3C" w:rsidP="008C3B19">
      <w:pPr>
        <w:pStyle w:val="ListBullet"/>
        <w:numPr>
          <w:ilvl w:val="0"/>
          <w:numId w:val="0"/>
        </w:numPr>
        <w:spacing w:after="40"/>
        <w:ind w:left="360"/>
        <w:rPr>
          <w:lang w:val="de-DE"/>
        </w:rPr>
      </w:pPr>
    </w:p>
    <w:p w14:paraId="3ED6CAF1" w14:textId="77777777" w:rsidR="005E0F3C" w:rsidRDefault="005E0F3C" w:rsidP="008C3B19">
      <w:pPr>
        <w:pStyle w:val="ListBullet"/>
        <w:numPr>
          <w:ilvl w:val="0"/>
          <w:numId w:val="0"/>
        </w:numPr>
        <w:spacing w:after="40"/>
        <w:ind w:left="360"/>
        <w:rPr>
          <w:lang w:val="de-DE"/>
        </w:rPr>
      </w:pPr>
    </w:p>
    <w:p w14:paraId="4FC1BC43" w14:textId="77777777" w:rsidR="005E0F3C" w:rsidRPr="009409C5" w:rsidRDefault="005E0F3C" w:rsidP="008C3B19">
      <w:pPr>
        <w:pStyle w:val="ListBullet"/>
        <w:numPr>
          <w:ilvl w:val="0"/>
          <w:numId w:val="0"/>
        </w:numPr>
        <w:spacing w:after="40"/>
        <w:ind w:left="360"/>
        <w:rPr>
          <w:lang w:val="de-DE"/>
        </w:rPr>
      </w:pPr>
    </w:p>
    <w:p w14:paraId="4AEA8524" w14:textId="77777777" w:rsidR="0038404F" w:rsidRPr="009409C5" w:rsidRDefault="00E61F6A">
      <w:pPr>
        <w:spacing w:before="100" w:after="40" w:line="254" w:lineRule="auto"/>
        <w:rPr>
          <w:lang w:val="de-DE"/>
        </w:rPr>
      </w:pPr>
      <w:r w:rsidRPr="009409C5">
        <w:rPr>
          <w:b/>
          <w:lang w:val="de-DE"/>
        </w:rPr>
        <w:lastRenderedPageBreak/>
        <w:t>Beseitigung</w:t>
      </w:r>
    </w:p>
    <w:p w14:paraId="2202862E" w14:textId="77777777" w:rsidR="0038404F" w:rsidRPr="009409C5" w:rsidRDefault="00E61F6A">
      <w:pPr>
        <w:spacing w:after="100" w:line="254" w:lineRule="auto"/>
        <w:rPr>
          <w:lang w:val="de-DE"/>
        </w:rPr>
      </w:pPr>
      <w:r w:rsidRPr="009409C5">
        <w:rPr>
          <w:lang w:val="de-DE"/>
        </w:rPr>
        <w:t>Die Beseitigung von Malware kann häufig mit Standard-Sicherheitstools durchgeführt werden. Moderne Malware ist jedoch oft persistent auf Geräten. Innerhalb angemessener Grenzen sollten geeignete Experten zur vollständigen Beseitigung beraten, und Monitoring sollte sicherstellen, dass Malware insbesondere nach Neustarts von Geräten nicht bestehen bleibt.</w:t>
      </w:r>
    </w:p>
    <w:p w14:paraId="55E24CDB" w14:textId="77777777" w:rsidR="0038404F" w:rsidRDefault="00E61F6A">
      <w:pPr>
        <w:spacing w:after="100" w:line="254" w:lineRule="auto"/>
        <w:rPr>
          <w:lang w:val="de-DE"/>
        </w:rPr>
      </w:pPr>
      <w:r w:rsidRPr="009409C5">
        <w:rPr>
          <w:lang w:val="de-DE"/>
        </w:rPr>
        <w:t>Wenn die Beseitigung anderweitig nicht gewährleistet werden kann, sollten Geräte in der Regel aus einem bekanntermaßen sauberen Backup oder Image neu aufgebaut werden, sofern dem keine anderen Faktoren entgegenstehen.</w:t>
      </w:r>
    </w:p>
    <w:p w14:paraId="5ED7AC41" w14:textId="77777777" w:rsidR="008C3B19" w:rsidRPr="009409C5" w:rsidRDefault="008C3B19">
      <w:pPr>
        <w:spacing w:after="100" w:line="254" w:lineRule="auto"/>
        <w:rPr>
          <w:lang w:val="de-DE"/>
        </w:rPr>
      </w:pPr>
    </w:p>
    <w:p w14:paraId="65AB4599" w14:textId="77777777" w:rsidR="0038404F" w:rsidRPr="009409C5" w:rsidRDefault="00E61F6A">
      <w:pPr>
        <w:spacing w:before="100" w:after="40" w:line="254" w:lineRule="auto"/>
        <w:rPr>
          <w:lang w:val="de-DE"/>
        </w:rPr>
      </w:pPr>
      <w:r w:rsidRPr="009409C5">
        <w:rPr>
          <w:b/>
          <w:lang w:val="de-DE"/>
        </w:rPr>
        <w:t>Wiederherstellung</w:t>
      </w:r>
    </w:p>
    <w:p w14:paraId="7699E8D4" w14:textId="77777777" w:rsidR="0038404F" w:rsidRPr="009409C5" w:rsidRDefault="00E61F6A">
      <w:pPr>
        <w:spacing w:after="100" w:line="254" w:lineRule="auto"/>
        <w:rPr>
          <w:lang w:val="de-DE"/>
        </w:rPr>
      </w:pPr>
      <w:r w:rsidRPr="009409C5">
        <w:rPr>
          <w:lang w:val="de-DE"/>
        </w:rPr>
        <w:t>Sobald der Vorfall vollständig eingedämmt ist, Zugriffskonten zurückgesetzt wurden, betroffene Geräte neu imaged und/oder ersetzt wurden und schädliche E-Mails aus Postfächern entfernt wurden, kann der Vorfall als beendet eingestuft und der Wiederherstellungsprozess eingeleitet werden.</w:t>
      </w:r>
    </w:p>
    <w:p w14:paraId="0985FC96" w14:textId="77777777" w:rsidR="0038404F" w:rsidRPr="009409C5" w:rsidRDefault="00E61F6A">
      <w:pPr>
        <w:spacing w:after="100" w:line="254" w:lineRule="auto"/>
        <w:rPr>
          <w:lang w:val="de-DE"/>
        </w:rPr>
      </w:pPr>
      <w:r w:rsidRPr="009409C5">
        <w:rPr>
          <w:lang w:val="de-DE"/>
        </w:rPr>
        <w:t>Während des Malware-Angriffs infizierte Geräte sollten mit Vorsicht wieder in die Produktionsumgebung eingeführt werden. Best Practice ist es, Geräte nach einem Angriff neu zu imagen, aus einem vertrauenswürdigen Backup wiederherzustellen oder vollständig zu ersetzen. Erforderliche Patches oder Maßnahmen zur Schwachstellenbehebung sollten vor der Reintegration umgesetzt werden.</w:t>
      </w:r>
    </w:p>
    <w:p w14:paraId="7437CBCC" w14:textId="77777777" w:rsidR="0038404F" w:rsidRDefault="00E61F6A">
      <w:pPr>
        <w:spacing w:after="100" w:line="254" w:lineRule="auto"/>
        <w:rPr>
          <w:lang w:val="de-DE"/>
        </w:rPr>
      </w:pPr>
      <w:r w:rsidRPr="009409C5">
        <w:rPr>
          <w:lang w:val="de-DE"/>
        </w:rPr>
        <w:t>Der Benutzerzugriff auf vom Vorfall betroffene Konten kann wiederhergestellt werden, wobei sicherzustellen ist, dass das Passwort geändert wurde und zusätzliche Sicherheitskontrollen wie MFA berücksichtigt wurden.</w:t>
      </w:r>
    </w:p>
    <w:p w14:paraId="51AD5F35" w14:textId="77777777" w:rsidR="008C3B19" w:rsidRPr="009409C5" w:rsidRDefault="008C3B19">
      <w:pPr>
        <w:spacing w:after="100" w:line="254" w:lineRule="auto"/>
        <w:rPr>
          <w:lang w:val="de-DE"/>
        </w:rPr>
      </w:pPr>
    </w:p>
    <w:p w14:paraId="1B9251FD" w14:textId="77777777" w:rsidR="0038404F" w:rsidRPr="009409C5" w:rsidRDefault="00E61F6A">
      <w:pPr>
        <w:spacing w:before="100" w:after="40" w:line="254" w:lineRule="auto"/>
        <w:rPr>
          <w:lang w:val="de-DE"/>
        </w:rPr>
      </w:pPr>
      <w:r w:rsidRPr="009409C5">
        <w:rPr>
          <w:b/>
          <w:lang w:val="de-DE"/>
        </w:rPr>
        <w:t>Nachbereitung des Vorfalls</w:t>
      </w:r>
    </w:p>
    <w:p w14:paraId="57601A92" w14:textId="77777777" w:rsidR="0038404F" w:rsidRPr="009409C5" w:rsidRDefault="00E61F6A">
      <w:pPr>
        <w:spacing w:after="100" w:line="254" w:lineRule="auto"/>
        <w:rPr>
          <w:lang w:val="de-DE"/>
        </w:rPr>
      </w:pPr>
      <w:r w:rsidRPr="009409C5">
        <w:rPr>
          <w:lang w:val="de-DE"/>
        </w:rPr>
        <w:t>Für Vorfälle, die als P1 bis P3 klassifiziert sind, sollte gemäß Abschnitt 4.7 des Plans zur Reaktion auf Cyber-Sicherheitsvorfälle eine Nachbereitung des Vorfalls durchgeführt werden.</w:t>
      </w:r>
    </w:p>
    <w:p w14:paraId="1CE82DB4" w14:textId="77777777" w:rsidR="0038404F" w:rsidRPr="009409C5" w:rsidRDefault="00E61F6A">
      <w:pPr>
        <w:rPr>
          <w:lang w:val="de-DE"/>
        </w:rPr>
      </w:pPr>
      <w:r w:rsidRPr="009409C5">
        <w:rPr>
          <w:lang w:val="de-DE"/>
        </w:rPr>
        <w:br w:type="page"/>
      </w:r>
    </w:p>
    <w:p w14:paraId="122E23FE" w14:textId="77777777" w:rsidR="0038404F" w:rsidRPr="001C77AC" w:rsidRDefault="00E61F6A">
      <w:pPr>
        <w:pStyle w:val="Heading2"/>
        <w:spacing w:before="160" w:after="80"/>
        <w:rPr>
          <w:color w:val="auto"/>
          <w:lang w:val="de-DE"/>
        </w:rPr>
      </w:pPr>
      <w:bookmarkStart w:id="3" w:name="_Toc239169190"/>
      <w:r w:rsidRPr="001C77AC">
        <w:rPr>
          <w:rFonts w:ascii="Aptos Display" w:eastAsia="Aptos Display" w:hAnsi="Aptos Display"/>
          <w:color w:val="auto"/>
          <w:lang w:val="de-DE"/>
        </w:rPr>
        <w:lastRenderedPageBreak/>
        <w:t>Anhang A: Ablaufdiagramm zur Reaktion auf Malware</w:t>
      </w:r>
      <w:bookmarkEnd w:id="3"/>
    </w:p>
    <w:p w14:paraId="77805639" w14:textId="68DE62DE" w:rsidR="0038404F" w:rsidRDefault="00E61F6A" w:rsidP="00F0730C">
      <w:pPr>
        <w:spacing w:after="100" w:line="254" w:lineRule="auto"/>
        <w:rPr>
          <w:lang w:val="de-DE"/>
        </w:rPr>
      </w:pPr>
      <w:r w:rsidRPr="009409C5">
        <w:rPr>
          <w:lang w:val="de-DE"/>
        </w:rPr>
        <w:t>Das nachstehende Ablaufdiagramm stellt die wesentlichen Entscheidungspunkte und Reaktionsschritte bei einem Malware-Vorfall dar.</w:t>
      </w:r>
    </w:p>
    <w:p w14:paraId="7B84E8D0" w14:textId="77777777" w:rsidR="00F0730C" w:rsidRPr="00F0730C" w:rsidRDefault="00F0730C" w:rsidP="00F0730C">
      <w:pPr>
        <w:spacing w:after="100" w:line="254" w:lineRule="auto"/>
        <w:rPr>
          <w:lang w:val="de-DE"/>
        </w:rPr>
      </w:pPr>
    </w:p>
    <w:p w14:paraId="1178BA74" w14:textId="398B0ADF" w:rsidR="0038404F" w:rsidRPr="009409C5" w:rsidRDefault="00F0730C">
      <w:pPr>
        <w:spacing w:after="100" w:line="254" w:lineRule="auto"/>
        <w:rPr>
          <w:lang w:val="de-DE"/>
        </w:rPr>
      </w:pPr>
      <w:r w:rsidRPr="00F0730C">
        <w:rPr>
          <w:lang w:val="de-DE"/>
        </w:rPr>
        <w:drawing>
          <wp:inline distT="0" distB="0" distL="0" distR="0" wp14:anchorId="262CDAB7" wp14:editId="2760861B">
            <wp:extent cx="5065987" cy="7598980"/>
            <wp:effectExtent l="0" t="0" r="1905" b="2540"/>
            <wp:docPr id="506002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02618" name=""/>
                    <pic:cNvPicPr/>
                  </pic:nvPicPr>
                  <pic:blipFill>
                    <a:blip r:embed="rId8"/>
                    <a:stretch>
                      <a:fillRect/>
                    </a:stretch>
                  </pic:blipFill>
                  <pic:spPr>
                    <a:xfrm>
                      <a:off x="0" y="0"/>
                      <a:ext cx="5071978" cy="7607966"/>
                    </a:xfrm>
                    <a:prstGeom prst="rect">
                      <a:avLst/>
                    </a:prstGeom>
                  </pic:spPr>
                </pic:pic>
              </a:graphicData>
            </a:graphic>
          </wp:inline>
        </w:drawing>
      </w:r>
    </w:p>
    <w:sectPr w:rsidR="0038404F" w:rsidRPr="009409C5"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112FF" w14:textId="77777777" w:rsidR="00E61F6A" w:rsidRDefault="00E61F6A">
      <w:pPr>
        <w:spacing w:after="0" w:line="240" w:lineRule="auto"/>
      </w:pPr>
    </w:p>
  </w:endnote>
  <w:endnote w:type="continuationSeparator" w:id="0">
    <w:p w14:paraId="2593EBC0" w14:textId="77777777" w:rsidR="00E61F6A" w:rsidRDefault="00E61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39B9" w14:textId="530F2225" w:rsidR="009748A1" w:rsidRPr="009748A1" w:rsidRDefault="009748A1">
    <w:pPr>
      <w:pStyle w:val="Footer"/>
      <w:rPr>
        <w:i/>
        <w:iCs/>
        <w:sz w:val="12"/>
        <w:szCs w:val="12"/>
        <w:lang w:val="de-DE"/>
      </w:rPr>
    </w:pPr>
    <w:r w:rsidRPr="009748A1">
      <w:rPr>
        <w:i/>
        <w:iCs/>
        <w:sz w:val="12"/>
        <w:szCs w:val="12"/>
        <w:lang w:val="de-DE"/>
      </w:rPr>
      <w:t>Die beispielhaften Cyber-Governance-Vorlagen dienen ausschließlich als Orientierungshilfe. Sie wurden nicht auf Basis Ihrer konkreten Systeme und Risiken erstellt und decken daher nicht alle möglichen Szenarien oder erforderlichen Maßnahmen im Zusammenhang mit einem Cybersicherheitsvorfall ab. Die Verantwortung für die Bewertung und Implementierung geeigneter Notfall- und Reaktionsprozesse liegt beim Unternehmen. Die Vorlagen ersetzen weder die Beratung durch Rechtsanwälte noch die Unterstützung durch Cybersicherheitsexperten.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59FB4" w14:textId="77777777" w:rsidR="00E61F6A" w:rsidRDefault="00E61F6A">
      <w:pPr>
        <w:spacing w:after="0" w:line="240" w:lineRule="auto"/>
      </w:pPr>
    </w:p>
  </w:footnote>
  <w:footnote w:type="continuationSeparator" w:id="0">
    <w:p w14:paraId="7D55328A" w14:textId="77777777" w:rsidR="00E61F6A" w:rsidRDefault="00E61F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D435E2"/>
    <w:multiLevelType w:val="hybridMultilevel"/>
    <w:tmpl w:val="95D492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13DF0E4C"/>
    <w:multiLevelType w:val="hybridMultilevel"/>
    <w:tmpl w:val="9698D94C"/>
    <w:lvl w:ilvl="0" w:tplc="51689794">
      <w:start w:val="1"/>
      <w:numFmt w:val="bullet"/>
      <w:lvlText w:val="-"/>
      <w:lvlJc w:val="left"/>
      <w:pPr>
        <w:ind w:left="720" w:hanging="360"/>
      </w:pPr>
      <w:rPr>
        <w:rFonts w:ascii="Aptos" w:eastAsia="Aptos" w:hAnsi="Aptos" w:cstheme="minorBid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587085E"/>
    <w:multiLevelType w:val="hybridMultilevel"/>
    <w:tmpl w:val="509856C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9DD6315"/>
    <w:multiLevelType w:val="hybridMultilevel"/>
    <w:tmpl w:val="E14226D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3D97599"/>
    <w:multiLevelType w:val="hybridMultilevel"/>
    <w:tmpl w:val="499C4680"/>
    <w:lvl w:ilvl="0" w:tplc="51689794">
      <w:start w:val="1"/>
      <w:numFmt w:val="bullet"/>
      <w:lvlText w:val="-"/>
      <w:lvlJc w:val="left"/>
      <w:pPr>
        <w:ind w:left="720" w:hanging="360"/>
      </w:pPr>
      <w:rPr>
        <w:rFonts w:ascii="Aptos" w:eastAsia="Aptos" w:hAnsi="Aptos" w:cstheme="minorBidi"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C251A4"/>
    <w:multiLevelType w:val="hybridMultilevel"/>
    <w:tmpl w:val="9CDC36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9B22FA"/>
    <w:multiLevelType w:val="hybridMultilevel"/>
    <w:tmpl w:val="0F7EAFF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60D4CF2"/>
    <w:multiLevelType w:val="hybridMultilevel"/>
    <w:tmpl w:val="6A9AEF68"/>
    <w:lvl w:ilvl="0" w:tplc="51689794">
      <w:start w:val="1"/>
      <w:numFmt w:val="bullet"/>
      <w:lvlText w:val="-"/>
      <w:lvlJc w:val="left"/>
      <w:pPr>
        <w:ind w:left="720" w:hanging="360"/>
      </w:pPr>
      <w:rPr>
        <w:rFonts w:ascii="Aptos" w:eastAsia="Aptos" w:hAnsi="Aptos" w:cstheme="minorBidi"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13304B"/>
    <w:multiLevelType w:val="hybridMultilevel"/>
    <w:tmpl w:val="DC72971A"/>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48F5BE1"/>
    <w:multiLevelType w:val="hybridMultilevel"/>
    <w:tmpl w:val="16D2D28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F4F4BB3"/>
    <w:multiLevelType w:val="hybridMultilevel"/>
    <w:tmpl w:val="9C90F0B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A47D59"/>
    <w:multiLevelType w:val="hybridMultilevel"/>
    <w:tmpl w:val="242CF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8EA7C51"/>
    <w:multiLevelType w:val="hybridMultilevel"/>
    <w:tmpl w:val="2452BABA"/>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08148586">
    <w:abstractNumId w:val="8"/>
  </w:num>
  <w:num w:numId="2" w16cid:durableId="632369823">
    <w:abstractNumId w:val="6"/>
  </w:num>
  <w:num w:numId="3" w16cid:durableId="166018844">
    <w:abstractNumId w:val="5"/>
  </w:num>
  <w:num w:numId="4" w16cid:durableId="1413742742">
    <w:abstractNumId w:val="4"/>
  </w:num>
  <w:num w:numId="5" w16cid:durableId="80568606">
    <w:abstractNumId w:val="7"/>
  </w:num>
  <w:num w:numId="6" w16cid:durableId="734547520">
    <w:abstractNumId w:val="3"/>
  </w:num>
  <w:num w:numId="7" w16cid:durableId="2001497478">
    <w:abstractNumId w:val="2"/>
  </w:num>
  <w:num w:numId="8" w16cid:durableId="423767188">
    <w:abstractNumId w:val="1"/>
  </w:num>
  <w:num w:numId="9" w16cid:durableId="1960066319">
    <w:abstractNumId w:val="0"/>
  </w:num>
  <w:num w:numId="10" w16cid:durableId="1354454621">
    <w:abstractNumId w:val="20"/>
  </w:num>
  <w:num w:numId="11" w16cid:durableId="2136678238">
    <w:abstractNumId w:val="11"/>
  </w:num>
  <w:num w:numId="12" w16cid:durableId="1946377155">
    <w:abstractNumId w:val="21"/>
  </w:num>
  <w:num w:numId="13" w16cid:durableId="281228316">
    <w:abstractNumId w:val="17"/>
  </w:num>
  <w:num w:numId="14" w16cid:durableId="27412845">
    <w:abstractNumId w:val="10"/>
  </w:num>
  <w:num w:numId="15" w16cid:durableId="4554658">
    <w:abstractNumId w:val="18"/>
  </w:num>
  <w:num w:numId="16" w16cid:durableId="703483426">
    <w:abstractNumId w:val="14"/>
  </w:num>
  <w:num w:numId="17" w16cid:durableId="4987960">
    <w:abstractNumId w:val="19"/>
  </w:num>
  <w:num w:numId="18" w16cid:durableId="817377340">
    <w:abstractNumId w:val="13"/>
  </w:num>
  <w:num w:numId="19" w16cid:durableId="952245607">
    <w:abstractNumId w:val="15"/>
  </w:num>
  <w:num w:numId="20" w16cid:durableId="956907294">
    <w:abstractNumId w:val="16"/>
  </w:num>
  <w:num w:numId="21" w16cid:durableId="1360551598">
    <w:abstractNumId w:val="9"/>
  </w:num>
  <w:num w:numId="22" w16cid:durableId="6654802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7AC"/>
    <w:rsid w:val="0029639D"/>
    <w:rsid w:val="00326F90"/>
    <w:rsid w:val="0038404F"/>
    <w:rsid w:val="0042773F"/>
    <w:rsid w:val="005E0F3C"/>
    <w:rsid w:val="008C3B19"/>
    <w:rsid w:val="00931D44"/>
    <w:rsid w:val="009409C5"/>
    <w:rsid w:val="009748A1"/>
    <w:rsid w:val="00AA1D8D"/>
    <w:rsid w:val="00B17C32"/>
    <w:rsid w:val="00B47730"/>
    <w:rsid w:val="00CB0664"/>
    <w:rsid w:val="00E61F6A"/>
    <w:rsid w:val="00E65A4B"/>
    <w:rsid w:val="00F073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055E48B-C9C1-4BA9-B9CD-C7655303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3">
    <w:name w:val="toc 3"/>
    <w:basedOn w:val="Normal"/>
    <w:next w:val="Normal"/>
    <w:autoRedefine/>
    <w:uiPriority w:val="39"/>
    <w:unhideWhenUsed/>
    <w:rsid w:val="009409C5"/>
    <w:pPr>
      <w:spacing w:after="100"/>
      <w:ind w:left="420"/>
    </w:pPr>
  </w:style>
  <w:style w:type="paragraph" w:styleId="TOC2">
    <w:name w:val="toc 2"/>
    <w:basedOn w:val="Normal"/>
    <w:next w:val="Normal"/>
    <w:autoRedefine/>
    <w:uiPriority w:val="39"/>
    <w:unhideWhenUsed/>
    <w:rsid w:val="009409C5"/>
    <w:pPr>
      <w:spacing w:after="100"/>
      <w:ind w:left="210"/>
    </w:pPr>
  </w:style>
  <w:style w:type="character" w:styleId="Hyperlink">
    <w:name w:val="Hyperlink"/>
    <w:basedOn w:val="DefaultParagraphFont"/>
    <w:uiPriority w:val="99"/>
    <w:unhideWhenUsed/>
    <w:rsid w:val="009409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1488</Words>
  <Characters>8607</Characters>
  <Application>Microsoft Office Word</Application>
  <DocSecurity>0</DocSecurity>
  <Lines>215</Lines>
  <Paragraphs>138</Paragraphs>
  <ScaleCrop>false</ScaleCrop>
  <HeadingPairs>
    <vt:vector size="2" baseType="variant">
      <vt:variant>
        <vt:lpstr>Title</vt:lpstr>
      </vt:variant>
      <vt:variant>
        <vt:i4>1</vt:i4>
      </vt:variant>
    </vt:vector>
  </HeadingPairs>
  <TitlesOfParts>
    <vt:vector size="1" baseType="lpstr">
      <vt:lpstr>Playbook zur Reaktion auf Malware</vt:lpstr>
    </vt:vector>
  </TitlesOfParts>
  <Manager/>
  <Company/>
  <LinksUpToDate>false</LinksUpToDate>
  <CharactersWithSpaces>9957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Playbook zur Reaktion auf Malware</dc:title>
  <dc:subject>Cyber Governance Vorlage</dc:subject>
  <dc:creator>Insaf Idelhaj</dc:creator>
  <cp:keywords/>
  <dc:description>generated by python-docx</dc:description>
  <cp:lastModifiedBy>Jan Rott</cp:lastModifiedBy>
  <cp:revision>4</cp:revision>
  <dcterms:created xsi:type="dcterms:W3CDTF">2026-09-01T13:34:00Z</dcterms:created>
  <dcterms:modified xsi:type="dcterms:W3CDTF">2026-09-01T13:43:00Z</dcterms:modified>
  <cp:category/>
  <dc:language>de-DE</dc:language>
</cp:coreProperties>
</file>