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7532" w14:textId="549533F0" w:rsidR="009C0598" w:rsidRPr="00B62DFD" w:rsidRDefault="009C0598"/>
    <w:p w14:paraId="639BEB49" w14:textId="77777777" w:rsidR="009C0598" w:rsidRPr="00B62DFD" w:rsidRDefault="006800BE" w:rsidP="000C14F8">
      <w:pPr>
        <w:spacing w:after="100" w:line="254" w:lineRule="auto"/>
        <w:jc w:val="center"/>
      </w:pPr>
      <w:r w:rsidRPr="00B62DFD">
        <w:rPr>
          <w:b/>
          <w:sz w:val="24"/>
          <w:highlight w:val="yellow"/>
        </w:rPr>
        <w:t>[UNTERNEHMENSNAME]</w:t>
      </w:r>
    </w:p>
    <w:p w14:paraId="6F9E2D7A" w14:textId="5BC1874E" w:rsidR="009C0598" w:rsidRPr="00B62DFD" w:rsidRDefault="006800BE" w:rsidP="000C14F8">
      <w:pPr>
        <w:spacing w:after="100" w:line="254" w:lineRule="auto"/>
        <w:jc w:val="center"/>
      </w:pPr>
      <w:r w:rsidRPr="00B62DFD">
        <w:rPr>
          <w:b/>
          <w:sz w:val="28"/>
        </w:rPr>
        <w:t xml:space="preserve">Playbook zur Reaktion auf </w:t>
      </w:r>
      <w:r w:rsidR="00522643" w:rsidRPr="00B62DFD">
        <w:rPr>
          <w:b/>
          <w:sz w:val="28"/>
        </w:rPr>
        <w:t>Email-</w:t>
      </w:r>
      <w:r w:rsidRPr="00B62DFD">
        <w:rPr>
          <w:b/>
          <w:sz w:val="28"/>
        </w:rPr>
        <w:t>Postfachkompromittierung</w:t>
      </w:r>
    </w:p>
    <w:p w14:paraId="224398FC" w14:textId="3D645282" w:rsidR="009C0598" w:rsidRPr="00B62DFD" w:rsidRDefault="006800BE" w:rsidP="000C14F8">
      <w:pPr>
        <w:spacing w:after="100" w:line="254" w:lineRule="auto"/>
        <w:jc w:val="center"/>
        <w:rPr>
          <w:b/>
          <w:color w:val="3D403D"/>
        </w:rPr>
      </w:pPr>
      <w:r w:rsidRPr="00B62DFD">
        <w:rPr>
          <w:b/>
          <w:color w:val="3D403D"/>
        </w:rPr>
        <w:t>Geschäftlich</w:t>
      </w:r>
      <w:r w:rsidR="00E1461E" w:rsidRPr="00B62DFD">
        <w:rPr>
          <w:b/>
          <w:color w:val="3D403D"/>
        </w:rPr>
        <w:t>/V</w:t>
      </w:r>
      <w:r w:rsidRPr="00B62DFD">
        <w:rPr>
          <w:b/>
          <w:color w:val="3D403D"/>
        </w:rPr>
        <w:t>ertraulich</w:t>
      </w:r>
      <w:r w:rsidR="00E1461E" w:rsidRPr="00B62DFD">
        <w:rPr>
          <w:b/>
          <w:color w:val="3D403D"/>
        </w:rPr>
        <w:t xml:space="preserve"> -</w:t>
      </w:r>
      <w:r w:rsidRPr="00B62DFD">
        <w:rPr>
          <w:b/>
          <w:color w:val="3D403D"/>
        </w:rPr>
        <w:t xml:space="preserve"> Nicht zur Weitergabe bestimmt</w:t>
      </w:r>
      <w:r w:rsidR="000C14F8" w:rsidRPr="00B62DFD">
        <w:rPr>
          <w:b/>
          <w:color w:val="3D403D"/>
        </w:rPr>
        <w:t>.</w:t>
      </w:r>
    </w:p>
    <w:p w14:paraId="0747EDD3" w14:textId="77777777" w:rsidR="000C14F8" w:rsidRPr="00B62DFD" w:rsidRDefault="000C14F8" w:rsidP="000C14F8">
      <w:pPr>
        <w:spacing w:after="100" w:line="254" w:lineRule="auto"/>
        <w:jc w:val="center"/>
        <w:rPr>
          <w:b/>
          <w:color w:val="3D403D"/>
        </w:rPr>
      </w:pPr>
    </w:p>
    <w:p w14:paraId="356A4466" w14:textId="77777777" w:rsidR="000C14F8" w:rsidRPr="00B62DFD" w:rsidRDefault="000C14F8" w:rsidP="000C14F8">
      <w:pPr>
        <w:spacing w:after="100" w:line="254" w:lineRule="auto"/>
        <w:jc w:val="center"/>
      </w:pPr>
    </w:p>
    <w:p w14:paraId="1650B22C" w14:textId="77777777" w:rsidR="009C0598" w:rsidRPr="00B62DFD" w:rsidRDefault="006800BE">
      <w:pPr>
        <w:spacing w:after="100" w:line="254" w:lineRule="auto"/>
      </w:pPr>
      <w:r w:rsidRPr="00B62DFD">
        <w:rPr>
          <w:b/>
          <w:color w:val="3D403D"/>
        </w:rPr>
        <w:t>VERSIONSHISTORIE</w:t>
      </w:r>
    </w:p>
    <w:tbl>
      <w:tblPr>
        <w:tblStyle w:val="TableGrid"/>
        <w:tblW w:w="0" w:type="auto"/>
        <w:jc w:val="center"/>
        <w:tblLook w:val="04A0" w:firstRow="1" w:lastRow="0" w:firstColumn="1" w:lastColumn="0" w:noHBand="0" w:noVBand="1"/>
      </w:tblPr>
      <w:tblGrid>
        <w:gridCol w:w="1502"/>
        <w:gridCol w:w="1669"/>
        <w:gridCol w:w="2153"/>
        <w:gridCol w:w="4832"/>
      </w:tblGrid>
      <w:tr w:rsidR="009C0598" w:rsidRPr="00B62DFD" w14:paraId="23715FA2" w14:textId="77777777" w:rsidTr="000C14F8">
        <w:trPr>
          <w:jc w:val="center"/>
        </w:trPr>
        <w:tc>
          <w:tcPr>
            <w:tcW w:w="1584" w:type="dxa"/>
            <w:shd w:val="clear" w:color="auto" w:fill="000000" w:themeFill="text1"/>
            <w:tcMar>
              <w:top w:w="90" w:type="dxa"/>
              <w:left w:w="90" w:type="dxa"/>
              <w:bottom w:w="90" w:type="dxa"/>
              <w:right w:w="90" w:type="dxa"/>
            </w:tcMar>
            <w:vAlign w:val="center"/>
          </w:tcPr>
          <w:p w14:paraId="30D0056C" w14:textId="77777777" w:rsidR="009C0598" w:rsidRPr="00B62DFD" w:rsidRDefault="006800BE">
            <w:pPr>
              <w:spacing w:after="20"/>
              <w:rPr>
                <w:color w:val="FFFFFF" w:themeColor="background1"/>
              </w:rPr>
            </w:pPr>
            <w:r w:rsidRPr="00B62DFD">
              <w:rPr>
                <w:b/>
                <w:color w:val="FFFFFF" w:themeColor="background1"/>
                <w:sz w:val="19"/>
              </w:rPr>
              <w:t>VERSION</w:t>
            </w:r>
          </w:p>
        </w:tc>
        <w:tc>
          <w:tcPr>
            <w:tcW w:w="1800" w:type="dxa"/>
            <w:shd w:val="clear" w:color="auto" w:fill="000000" w:themeFill="text1"/>
            <w:tcMar>
              <w:top w:w="90" w:type="dxa"/>
              <w:left w:w="90" w:type="dxa"/>
              <w:bottom w:w="90" w:type="dxa"/>
              <w:right w:w="90" w:type="dxa"/>
            </w:tcMar>
            <w:vAlign w:val="center"/>
          </w:tcPr>
          <w:p w14:paraId="376CC5FE" w14:textId="77777777" w:rsidR="009C0598" w:rsidRPr="00B62DFD" w:rsidRDefault="006800BE">
            <w:pPr>
              <w:spacing w:after="20"/>
              <w:rPr>
                <w:color w:val="FFFFFF" w:themeColor="background1"/>
              </w:rPr>
            </w:pPr>
            <w:r w:rsidRPr="00B62DFD">
              <w:rPr>
                <w:b/>
                <w:color w:val="FFFFFF" w:themeColor="background1"/>
                <w:sz w:val="19"/>
              </w:rPr>
              <w:t>DATUM</w:t>
            </w:r>
          </w:p>
        </w:tc>
        <w:tc>
          <w:tcPr>
            <w:tcW w:w="2376" w:type="dxa"/>
            <w:shd w:val="clear" w:color="auto" w:fill="000000" w:themeFill="text1"/>
            <w:tcMar>
              <w:top w:w="90" w:type="dxa"/>
              <w:left w:w="90" w:type="dxa"/>
              <w:bottom w:w="90" w:type="dxa"/>
              <w:right w:w="90" w:type="dxa"/>
            </w:tcMar>
            <w:vAlign w:val="center"/>
          </w:tcPr>
          <w:p w14:paraId="62F47F3B" w14:textId="77777777" w:rsidR="009C0598" w:rsidRPr="00B62DFD" w:rsidRDefault="006800BE">
            <w:pPr>
              <w:spacing w:after="20"/>
              <w:rPr>
                <w:color w:val="FFFFFF" w:themeColor="background1"/>
              </w:rPr>
            </w:pPr>
            <w:r w:rsidRPr="00B62DFD">
              <w:rPr>
                <w:b/>
                <w:color w:val="FFFFFF" w:themeColor="background1"/>
                <w:sz w:val="19"/>
              </w:rPr>
              <w:t>NAME</w:t>
            </w:r>
          </w:p>
        </w:tc>
        <w:tc>
          <w:tcPr>
            <w:tcW w:w="5328" w:type="dxa"/>
            <w:shd w:val="clear" w:color="auto" w:fill="000000" w:themeFill="text1"/>
            <w:tcMar>
              <w:top w:w="90" w:type="dxa"/>
              <w:left w:w="90" w:type="dxa"/>
              <w:bottom w:w="90" w:type="dxa"/>
              <w:right w:w="90" w:type="dxa"/>
            </w:tcMar>
            <w:vAlign w:val="center"/>
          </w:tcPr>
          <w:p w14:paraId="58C1F218" w14:textId="77777777" w:rsidR="009C0598" w:rsidRPr="00B62DFD" w:rsidRDefault="006800BE">
            <w:pPr>
              <w:spacing w:after="20"/>
              <w:rPr>
                <w:color w:val="FFFFFF" w:themeColor="background1"/>
              </w:rPr>
            </w:pPr>
            <w:r w:rsidRPr="00B62DFD">
              <w:rPr>
                <w:b/>
                <w:color w:val="FFFFFF" w:themeColor="background1"/>
                <w:sz w:val="19"/>
              </w:rPr>
              <w:t>BESCHREIBUNG</w:t>
            </w:r>
          </w:p>
        </w:tc>
      </w:tr>
      <w:tr w:rsidR="009C0598" w:rsidRPr="00B62DFD" w14:paraId="3DDA608E" w14:textId="77777777">
        <w:trPr>
          <w:jc w:val="center"/>
        </w:trPr>
        <w:tc>
          <w:tcPr>
            <w:tcW w:w="1584" w:type="dxa"/>
            <w:tcMar>
              <w:top w:w="90" w:type="dxa"/>
              <w:left w:w="90" w:type="dxa"/>
              <w:bottom w:w="90" w:type="dxa"/>
              <w:right w:w="90" w:type="dxa"/>
            </w:tcMar>
            <w:vAlign w:val="center"/>
          </w:tcPr>
          <w:p w14:paraId="4F6E8651" w14:textId="77777777" w:rsidR="009C0598" w:rsidRPr="00B62DFD" w:rsidRDefault="009C0598">
            <w:pPr>
              <w:spacing w:after="20"/>
            </w:pPr>
          </w:p>
        </w:tc>
        <w:tc>
          <w:tcPr>
            <w:tcW w:w="1800" w:type="dxa"/>
            <w:tcMar>
              <w:top w:w="90" w:type="dxa"/>
              <w:left w:w="90" w:type="dxa"/>
              <w:bottom w:w="90" w:type="dxa"/>
              <w:right w:w="90" w:type="dxa"/>
            </w:tcMar>
            <w:vAlign w:val="center"/>
          </w:tcPr>
          <w:p w14:paraId="5E23C1AB" w14:textId="77777777" w:rsidR="009C0598" w:rsidRPr="00B62DFD" w:rsidRDefault="009C0598">
            <w:pPr>
              <w:spacing w:after="20"/>
            </w:pPr>
          </w:p>
        </w:tc>
        <w:tc>
          <w:tcPr>
            <w:tcW w:w="2376" w:type="dxa"/>
            <w:tcMar>
              <w:top w:w="90" w:type="dxa"/>
              <w:left w:w="90" w:type="dxa"/>
              <w:bottom w:w="90" w:type="dxa"/>
              <w:right w:w="90" w:type="dxa"/>
            </w:tcMar>
            <w:vAlign w:val="center"/>
          </w:tcPr>
          <w:p w14:paraId="1CC99AB6" w14:textId="77777777" w:rsidR="009C0598" w:rsidRPr="00B62DFD" w:rsidRDefault="009C0598">
            <w:pPr>
              <w:spacing w:after="20"/>
            </w:pPr>
          </w:p>
        </w:tc>
        <w:tc>
          <w:tcPr>
            <w:tcW w:w="5328" w:type="dxa"/>
            <w:tcMar>
              <w:top w:w="90" w:type="dxa"/>
              <w:left w:w="90" w:type="dxa"/>
              <w:bottom w:w="90" w:type="dxa"/>
              <w:right w:w="90" w:type="dxa"/>
            </w:tcMar>
            <w:vAlign w:val="center"/>
          </w:tcPr>
          <w:p w14:paraId="7D40E692" w14:textId="77777777" w:rsidR="009C0598" w:rsidRPr="00B62DFD" w:rsidRDefault="009C0598">
            <w:pPr>
              <w:spacing w:after="20"/>
            </w:pPr>
          </w:p>
        </w:tc>
      </w:tr>
      <w:tr w:rsidR="009C0598" w:rsidRPr="00B62DFD" w14:paraId="594FCAC3" w14:textId="77777777">
        <w:trPr>
          <w:jc w:val="center"/>
        </w:trPr>
        <w:tc>
          <w:tcPr>
            <w:tcW w:w="1584" w:type="dxa"/>
            <w:tcMar>
              <w:top w:w="90" w:type="dxa"/>
              <w:left w:w="90" w:type="dxa"/>
              <w:bottom w:w="90" w:type="dxa"/>
              <w:right w:w="90" w:type="dxa"/>
            </w:tcMar>
            <w:vAlign w:val="center"/>
          </w:tcPr>
          <w:p w14:paraId="7DB7089D" w14:textId="77777777" w:rsidR="009C0598" w:rsidRPr="00B62DFD" w:rsidRDefault="009C0598">
            <w:pPr>
              <w:spacing w:after="20"/>
            </w:pPr>
          </w:p>
        </w:tc>
        <w:tc>
          <w:tcPr>
            <w:tcW w:w="1800" w:type="dxa"/>
            <w:tcMar>
              <w:top w:w="90" w:type="dxa"/>
              <w:left w:w="90" w:type="dxa"/>
              <w:bottom w:w="90" w:type="dxa"/>
              <w:right w:w="90" w:type="dxa"/>
            </w:tcMar>
            <w:vAlign w:val="center"/>
          </w:tcPr>
          <w:p w14:paraId="71D277DA" w14:textId="77777777" w:rsidR="009C0598" w:rsidRPr="00B62DFD" w:rsidRDefault="009C0598">
            <w:pPr>
              <w:spacing w:after="20"/>
            </w:pPr>
          </w:p>
        </w:tc>
        <w:tc>
          <w:tcPr>
            <w:tcW w:w="2376" w:type="dxa"/>
            <w:tcMar>
              <w:top w:w="90" w:type="dxa"/>
              <w:left w:w="90" w:type="dxa"/>
              <w:bottom w:w="90" w:type="dxa"/>
              <w:right w:w="90" w:type="dxa"/>
            </w:tcMar>
            <w:vAlign w:val="center"/>
          </w:tcPr>
          <w:p w14:paraId="324CDA1C" w14:textId="77777777" w:rsidR="009C0598" w:rsidRPr="00B62DFD" w:rsidRDefault="009C0598">
            <w:pPr>
              <w:spacing w:after="20"/>
            </w:pPr>
          </w:p>
        </w:tc>
        <w:tc>
          <w:tcPr>
            <w:tcW w:w="5328" w:type="dxa"/>
            <w:tcMar>
              <w:top w:w="90" w:type="dxa"/>
              <w:left w:w="90" w:type="dxa"/>
              <w:bottom w:w="90" w:type="dxa"/>
              <w:right w:w="90" w:type="dxa"/>
            </w:tcMar>
            <w:vAlign w:val="center"/>
          </w:tcPr>
          <w:p w14:paraId="49583E03" w14:textId="77777777" w:rsidR="009C0598" w:rsidRPr="00B62DFD" w:rsidRDefault="009C0598">
            <w:pPr>
              <w:spacing w:after="20"/>
            </w:pPr>
          </w:p>
        </w:tc>
      </w:tr>
      <w:tr w:rsidR="009C0598" w:rsidRPr="00B62DFD" w14:paraId="23656669" w14:textId="77777777">
        <w:trPr>
          <w:jc w:val="center"/>
        </w:trPr>
        <w:tc>
          <w:tcPr>
            <w:tcW w:w="1584" w:type="dxa"/>
            <w:tcMar>
              <w:top w:w="90" w:type="dxa"/>
              <w:left w:w="90" w:type="dxa"/>
              <w:bottom w:w="90" w:type="dxa"/>
              <w:right w:w="90" w:type="dxa"/>
            </w:tcMar>
            <w:vAlign w:val="center"/>
          </w:tcPr>
          <w:p w14:paraId="6522743A" w14:textId="77777777" w:rsidR="009C0598" w:rsidRPr="00B62DFD" w:rsidRDefault="009C0598">
            <w:pPr>
              <w:spacing w:after="20"/>
            </w:pPr>
          </w:p>
        </w:tc>
        <w:tc>
          <w:tcPr>
            <w:tcW w:w="1800" w:type="dxa"/>
            <w:tcMar>
              <w:top w:w="90" w:type="dxa"/>
              <w:left w:w="90" w:type="dxa"/>
              <w:bottom w:w="90" w:type="dxa"/>
              <w:right w:w="90" w:type="dxa"/>
            </w:tcMar>
            <w:vAlign w:val="center"/>
          </w:tcPr>
          <w:p w14:paraId="75D1C9A8" w14:textId="77777777" w:rsidR="009C0598" w:rsidRPr="00B62DFD" w:rsidRDefault="009C0598">
            <w:pPr>
              <w:spacing w:after="20"/>
            </w:pPr>
          </w:p>
        </w:tc>
        <w:tc>
          <w:tcPr>
            <w:tcW w:w="2376" w:type="dxa"/>
            <w:tcMar>
              <w:top w:w="90" w:type="dxa"/>
              <w:left w:w="90" w:type="dxa"/>
              <w:bottom w:w="90" w:type="dxa"/>
              <w:right w:w="90" w:type="dxa"/>
            </w:tcMar>
            <w:vAlign w:val="center"/>
          </w:tcPr>
          <w:p w14:paraId="0C322427" w14:textId="77777777" w:rsidR="009C0598" w:rsidRPr="00B62DFD" w:rsidRDefault="009C0598">
            <w:pPr>
              <w:spacing w:after="20"/>
            </w:pPr>
          </w:p>
        </w:tc>
        <w:tc>
          <w:tcPr>
            <w:tcW w:w="5328" w:type="dxa"/>
            <w:tcMar>
              <w:top w:w="90" w:type="dxa"/>
              <w:left w:w="90" w:type="dxa"/>
              <w:bottom w:w="90" w:type="dxa"/>
              <w:right w:w="90" w:type="dxa"/>
            </w:tcMar>
            <w:vAlign w:val="center"/>
          </w:tcPr>
          <w:p w14:paraId="7AA191DB" w14:textId="77777777" w:rsidR="009C0598" w:rsidRPr="00B62DFD" w:rsidRDefault="009C0598">
            <w:pPr>
              <w:spacing w:after="20"/>
            </w:pPr>
          </w:p>
        </w:tc>
      </w:tr>
      <w:tr w:rsidR="009C0598" w:rsidRPr="00B62DFD" w14:paraId="7A65218B" w14:textId="77777777">
        <w:trPr>
          <w:jc w:val="center"/>
        </w:trPr>
        <w:tc>
          <w:tcPr>
            <w:tcW w:w="1584" w:type="dxa"/>
            <w:tcMar>
              <w:top w:w="90" w:type="dxa"/>
              <w:left w:w="90" w:type="dxa"/>
              <w:bottom w:w="90" w:type="dxa"/>
              <w:right w:w="90" w:type="dxa"/>
            </w:tcMar>
            <w:vAlign w:val="center"/>
          </w:tcPr>
          <w:p w14:paraId="04169AB2" w14:textId="77777777" w:rsidR="009C0598" w:rsidRPr="00B62DFD" w:rsidRDefault="009C0598">
            <w:pPr>
              <w:spacing w:after="20"/>
            </w:pPr>
          </w:p>
        </w:tc>
        <w:tc>
          <w:tcPr>
            <w:tcW w:w="1800" w:type="dxa"/>
            <w:tcMar>
              <w:top w:w="90" w:type="dxa"/>
              <w:left w:w="90" w:type="dxa"/>
              <w:bottom w:w="90" w:type="dxa"/>
              <w:right w:w="90" w:type="dxa"/>
            </w:tcMar>
            <w:vAlign w:val="center"/>
          </w:tcPr>
          <w:p w14:paraId="72395C41" w14:textId="77777777" w:rsidR="009C0598" w:rsidRPr="00B62DFD" w:rsidRDefault="009C0598">
            <w:pPr>
              <w:spacing w:after="20"/>
            </w:pPr>
          </w:p>
        </w:tc>
        <w:tc>
          <w:tcPr>
            <w:tcW w:w="2376" w:type="dxa"/>
            <w:tcMar>
              <w:top w:w="90" w:type="dxa"/>
              <w:left w:w="90" w:type="dxa"/>
              <w:bottom w:w="90" w:type="dxa"/>
              <w:right w:w="90" w:type="dxa"/>
            </w:tcMar>
            <w:vAlign w:val="center"/>
          </w:tcPr>
          <w:p w14:paraId="1D950F4B" w14:textId="77777777" w:rsidR="009C0598" w:rsidRPr="00B62DFD" w:rsidRDefault="009C0598">
            <w:pPr>
              <w:spacing w:after="20"/>
            </w:pPr>
          </w:p>
        </w:tc>
        <w:tc>
          <w:tcPr>
            <w:tcW w:w="5328" w:type="dxa"/>
            <w:tcMar>
              <w:top w:w="90" w:type="dxa"/>
              <w:left w:w="90" w:type="dxa"/>
              <w:bottom w:w="90" w:type="dxa"/>
              <w:right w:w="90" w:type="dxa"/>
            </w:tcMar>
            <w:vAlign w:val="center"/>
          </w:tcPr>
          <w:p w14:paraId="7A787673" w14:textId="77777777" w:rsidR="009C0598" w:rsidRPr="00B62DFD" w:rsidRDefault="009C0598">
            <w:pPr>
              <w:spacing w:after="20"/>
            </w:pPr>
          </w:p>
        </w:tc>
      </w:tr>
      <w:tr w:rsidR="009C0598" w:rsidRPr="00B62DFD" w14:paraId="63480C21" w14:textId="77777777">
        <w:trPr>
          <w:jc w:val="center"/>
        </w:trPr>
        <w:tc>
          <w:tcPr>
            <w:tcW w:w="1584" w:type="dxa"/>
            <w:tcMar>
              <w:top w:w="90" w:type="dxa"/>
              <w:left w:w="90" w:type="dxa"/>
              <w:bottom w:w="90" w:type="dxa"/>
              <w:right w:w="90" w:type="dxa"/>
            </w:tcMar>
            <w:vAlign w:val="center"/>
          </w:tcPr>
          <w:p w14:paraId="14C4D6CC" w14:textId="77777777" w:rsidR="009C0598" w:rsidRPr="00B62DFD" w:rsidRDefault="009C0598">
            <w:pPr>
              <w:spacing w:after="20"/>
            </w:pPr>
          </w:p>
        </w:tc>
        <w:tc>
          <w:tcPr>
            <w:tcW w:w="1800" w:type="dxa"/>
            <w:tcMar>
              <w:top w:w="90" w:type="dxa"/>
              <w:left w:w="90" w:type="dxa"/>
              <w:bottom w:w="90" w:type="dxa"/>
              <w:right w:w="90" w:type="dxa"/>
            </w:tcMar>
            <w:vAlign w:val="center"/>
          </w:tcPr>
          <w:p w14:paraId="5E7108FA" w14:textId="77777777" w:rsidR="009C0598" w:rsidRPr="00B62DFD" w:rsidRDefault="009C0598">
            <w:pPr>
              <w:spacing w:after="20"/>
            </w:pPr>
          </w:p>
        </w:tc>
        <w:tc>
          <w:tcPr>
            <w:tcW w:w="2376" w:type="dxa"/>
            <w:tcMar>
              <w:top w:w="90" w:type="dxa"/>
              <w:left w:w="90" w:type="dxa"/>
              <w:bottom w:w="90" w:type="dxa"/>
              <w:right w:w="90" w:type="dxa"/>
            </w:tcMar>
            <w:vAlign w:val="center"/>
          </w:tcPr>
          <w:p w14:paraId="317259DB" w14:textId="77777777" w:rsidR="009C0598" w:rsidRPr="00B62DFD" w:rsidRDefault="009C0598">
            <w:pPr>
              <w:spacing w:after="20"/>
            </w:pPr>
          </w:p>
        </w:tc>
        <w:tc>
          <w:tcPr>
            <w:tcW w:w="5328" w:type="dxa"/>
            <w:tcMar>
              <w:top w:w="90" w:type="dxa"/>
              <w:left w:w="90" w:type="dxa"/>
              <w:bottom w:w="90" w:type="dxa"/>
              <w:right w:w="90" w:type="dxa"/>
            </w:tcMar>
            <w:vAlign w:val="center"/>
          </w:tcPr>
          <w:p w14:paraId="0AEDE3C7" w14:textId="77777777" w:rsidR="009C0598" w:rsidRPr="00B62DFD" w:rsidRDefault="009C0598">
            <w:pPr>
              <w:spacing w:after="20"/>
            </w:pPr>
          </w:p>
        </w:tc>
      </w:tr>
      <w:tr w:rsidR="009C0598" w:rsidRPr="00B62DFD" w14:paraId="716B3734" w14:textId="77777777">
        <w:trPr>
          <w:jc w:val="center"/>
        </w:trPr>
        <w:tc>
          <w:tcPr>
            <w:tcW w:w="1584" w:type="dxa"/>
            <w:tcMar>
              <w:top w:w="90" w:type="dxa"/>
              <w:left w:w="90" w:type="dxa"/>
              <w:bottom w:w="90" w:type="dxa"/>
              <w:right w:w="90" w:type="dxa"/>
            </w:tcMar>
            <w:vAlign w:val="center"/>
          </w:tcPr>
          <w:p w14:paraId="5E0628BA" w14:textId="77777777" w:rsidR="009C0598" w:rsidRPr="00B62DFD" w:rsidRDefault="009C0598">
            <w:pPr>
              <w:spacing w:after="20"/>
            </w:pPr>
          </w:p>
        </w:tc>
        <w:tc>
          <w:tcPr>
            <w:tcW w:w="1800" w:type="dxa"/>
            <w:tcMar>
              <w:top w:w="90" w:type="dxa"/>
              <w:left w:w="90" w:type="dxa"/>
              <w:bottom w:w="90" w:type="dxa"/>
              <w:right w:w="90" w:type="dxa"/>
            </w:tcMar>
            <w:vAlign w:val="center"/>
          </w:tcPr>
          <w:p w14:paraId="2D554023" w14:textId="77777777" w:rsidR="009C0598" w:rsidRPr="00B62DFD" w:rsidRDefault="009C0598">
            <w:pPr>
              <w:spacing w:after="20"/>
            </w:pPr>
          </w:p>
        </w:tc>
        <w:tc>
          <w:tcPr>
            <w:tcW w:w="2376" w:type="dxa"/>
            <w:tcMar>
              <w:top w:w="90" w:type="dxa"/>
              <w:left w:w="90" w:type="dxa"/>
              <w:bottom w:w="90" w:type="dxa"/>
              <w:right w:w="90" w:type="dxa"/>
            </w:tcMar>
            <w:vAlign w:val="center"/>
          </w:tcPr>
          <w:p w14:paraId="3A8A4D04" w14:textId="77777777" w:rsidR="009C0598" w:rsidRPr="00B62DFD" w:rsidRDefault="009C0598">
            <w:pPr>
              <w:spacing w:after="20"/>
            </w:pPr>
          </w:p>
        </w:tc>
        <w:tc>
          <w:tcPr>
            <w:tcW w:w="5328" w:type="dxa"/>
            <w:tcMar>
              <w:top w:w="90" w:type="dxa"/>
              <w:left w:w="90" w:type="dxa"/>
              <w:bottom w:w="90" w:type="dxa"/>
              <w:right w:w="90" w:type="dxa"/>
            </w:tcMar>
            <w:vAlign w:val="center"/>
          </w:tcPr>
          <w:p w14:paraId="66B9652C" w14:textId="77777777" w:rsidR="009C0598" w:rsidRPr="00B62DFD" w:rsidRDefault="009C0598">
            <w:pPr>
              <w:spacing w:after="20"/>
            </w:pPr>
          </w:p>
        </w:tc>
      </w:tr>
      <w:tr w:rsidR="009C0598" w:rsidRPr="00B62DFD" w14:paraId="3CC7DD4D" w14:textId="77777777">
        <w:trPr>
          <w:jc w:val="center"/>
        </w:trPr>
        <w:tc>
          <w:tcPr>
            <w:tcW w:w="1584" w:type="dxa"/>
            <w:tcMar>
              <w:top w:w="90" w:type="dxa"/>
              <w:left w:w="90" w:type="dxa"/>
              <w:bottom w:w="90" w:type="dxa"/>
              <w:right w:w="90" w:type="dxa"/>
            </w:tcMar>
            <w:vAlign w:val="center"/>
          </w:tcPr>
          <w:p w14:paraId="3931A726" w14:textId="77777777" w:rsidR="009C0598" w:rsidRPr="00B62DFD" w:rsidRDefault="009C0598">
            <w:pPr>
              <w:spacing w:after="20"/>
            </w:pPr>
          </w:p>
        </w:tc>
        <w:tc>
          <w:tcPr>
            <w:tcW w:w="1800" w:type="dxa"/>
            <w:tcMar>
              <w:top w:w="90" w:type="dxa"/>
              <w:left w:w="90" w:type="dxa"/>
              <w:bottom w:w="90" w:type="dxa"/>
              <w:right w:w="90" w:type="dxa"/>
            </w:tcMar>
            <w:vAlign w:val="center"/>
          </w:tcPr>
          <w:p w14:paraId="40E62DF4" w14:textId="77777777" w:rsidR="009C0598" w:rsidRPr="00B62DFD" w:rsidRDefault="009C0598">
            <w:pPr>
              <w:spacing w:after="20"/>
            </w:pPr>
          </w:p>
        </w:tc>
        <w:tc>
          <w:tcPr>
            <w:tcW w:w="2376" w:type="dxa"/>
            <w:tcMar>
              <w:top w:w="90" w:type="dxa"/>
              <w:left w:w="90" w:type="dxa"/>
              <w:bottom w:w="90" w:type="dxa"/>
              <w:right w:w="90" w:type="dxa"/>
            </w:tcMar>
            <w:vAlign w:val="center"/>
          </w:tcPr>
          <w:p w14:paraId="597DB89D" w14:textId="77777777" w:rsidR="009C0598" w:rsidRPr="00B62DFD" w:rsidRDefault="009C0598">
            <w:pPr>
              <w:spacing w:after="20"/>
            </w:pPr>
          </w:p>
        </w:tc>
        <w:tc>
          <w:tcPr>
            <w:tcW w:w="5328" w:type="dxa"/>
            <w:tcMar>
              <w:top w:w="90" w:type="dxa"/>
              <w:left w:w="90" w:type="dxa"/>
              <w:bottom w:w="90" w:type="dxa"/>
              <w:right w:w="90" w:type="dxa"/>
            </w:tcMar>
            <w:vAlign w:val="center"/>
          </w:tcPr>
          <w:p w14:paraId="47204A1C" w14:textId="77777777" w:rsidR="009C0598" w:rsidRPr="00B62DFD" w:rsidRDefault="009C0598">
            <w:pPr>
              <w:spacing w:after="20"/>
            </w:pPr>
          </w:p>
        </w:tc>
      </w:tr>
    </w:tbl>
    <w:p w14:paraId="5A81B79A" w14:textId="77777777" w:rsidR="009C0598" w:rsidRPr="00B62DFD" w:rsidRDefault="009C0598">
      <w:pPr>
        <w:spacing w:after="100" w:line="254" w:lineRule="auto"/>
      </w:pPr>
    </w:p>
    <w:p w14:paraId="3D6D669D" w14:textId="77777777" w:rsidR="009C0598" w:rsidRPr="00B62DFD" w:rsidRDefault="006800BE">
      <w:pPr>
        <w:spacing w:after="100" w:line="254" w:lineRule="auto"/>
      </w:pPr>
      <w:r w:rsidRPr="00B62DFD">
        <w:rPr>
          <w:b/>
        </w:rPr>
        <w:t xml:space="preserve">Playbook-Verantwortliche/r: </w:t>
      </w:r>
    </w:p>
    <w:p w14:paraId="29065C72" w14:textId="77777777" w:rsidR="009C0598" w:rsidRPr="00B62DFD" w:rsidRDefault="006800BE">
      <w:pPr>
        <w:spacing w:after="100" w:line="254" w:lineRule="auto"/>
      </w:pPr>
      <w:r w:rsidRPr="00B62DFD">
        <w:rPr>
          <w:b/>
        </w:rPr>
        <w:t xml:space="preserve">Nächste Überprüfung: </w:t>
      </w:r>
    </w:p>
    <w:p w14:paraId="741538DC" w14:textId="77777777" w:rsidR="009C0598" w:rsidRPr="00B62DFD" w:rsidRDefault="006800BE">
      <w:r w:rsidRPr="00B62DFD">
        <w:br w:type="page"/>
      </w:r>
    </w:p>
    <w:sdt>
      <w:sdtPr>
        <w:id w:val="941115788"/>
        <w:docPartObj>
          <w:docPartGallery w:val="Table of Contents"/>
          <w:docPartUnique/>
        </w:docPartObj>
      </w:sdtPr>
      <w:sdtEndPr>
        <w:rPr>
          <w:b/>
          <w:bCs/>
        </w:rPr>
      </w:sdtEndPr>
      <w:sdtContent>
        <w:p w14:paraId="5973ED7E" w14:textId="13F64402" w:rsidR="000C14F8" w:rsidRPr="00B62DFD" w:rsidRDefault="000C14F8" w:rsidP="000C14F8">
          <w:pPr>
            <w:spacing w:after="100" w:line="254" w:lineRule="auto"/>
          </w:pPr>
          <w:r w:rsidRPr="00B62DFD">
            <w:rPr>
              <w:b/>
              <w:sz w:val="24"/>
            </w:rPr>
            <w:t>Inhaltsverzeichnis</w:t>
          </w:r>
        </w:p>
        <w:p w14:paraId="705234AD" w14:textId="0B801F8D" w:rsidR="000C14F8" w:rsidRPr="00B62DFD" w:rsidRDefault="000C14F8">
          <w:pPr>
            <w:pStyle w:val="TOC3"/>
            <w:tabs>
              <w:tab w:val="right" w:leader="dot" w:pos="10156"/>
            </w:tabs>
          </w:pPr>
          <w:r w:rsidRPr="00B62DFD">
            <w:fldChar w:fldCharType="begin"/>
          </w:r>
          <w:r w:rsidRPr="00B62DFD">
            <w:instrText xml:space="preserve"> TOC \o "1-3" \h \z \u </w:instrText>
          </w:r>
          <w:r w:rsidRPr="00B62DFD">
            <w:fldChar w:fldCharType="separate"/>
          </w:r>
          <w:hyperlink w:anchor="_Toc236731065" w:history="1">
            <w:r w:rsidRPr="00B62DFD">
              <w:rPr>
                <w:rStyle w:val="Hyperlink"/>
                <w:rFonts w:ascii="Aptos Display" w:eastAsia="Aptos Display" w:hAnsi="Aptos Display"/>
              </w:rPr>
              <w:t>Erkennung</w:t>
            </w:r>
            <w:r w:rsidRPr="00B62DFD">
              <w:rPr>
                <w:webHidden/>
              </w:rPr>
              <w:tab/>
            </w:r>
            <w:r w:rsidRPr="00B62DFD">
              <w:rPr>
                <w:webHidden/>
              </w:rPr>
              <w:fldChar w:fldCharType="begin"/>
            </w:r>
            <w:r w:rsidRPr="00B62DFD">
              <w:rPr>
                <w:webHidden/>
              </w:rPr>
              <w:instrText xml:space="preserve"> PAGEREF _Toc236731065 \h </w:instrText>
            </w:r>
            <w:r w:rsidRPr="00B62DFD">
              <w:rPr>
                <w:webHidden/>
              </w:rPr>
            </w:r>
            <w:r w:rsidRPr="00B62DFD">
              <w:rPr>
                <w:webHidden/>
              </w:rPr>
              <w:fldChar w:fldCharType="separate"/>
            </w:r>
            <w:r w:rsidRPr="00B62DFD">
              <w:rPr>
                <w:webHidden/>
              </w:rPr>
              <w:t>3</w:t>
            </w:r>
            <w:r w:rsidRPr="00B62DFD">
              <w:rPr>
                <w:webHidden/>
              </w:rPr>
              <w:fldChar w:fldCharType="end"/>
            </w:r>
          </w:hyperlink>
        </w:p>
        <w:p w14:paraId="1CBBBE65" w14:textId="3D114C6E" w:rsidR="000C14F8" w:rsidRPr="00B62DFD" w:rsidRDefault="000C14F8">
          <w:pPr>
            <w:pStyle w:val="TOC3"/>
            <w:tabs>
              <w:tab w:val="right" w:leader="dot" w:pos="10156"/>
            </w:tabs>
          </w:pPr>
          <w:hyperlink w:anchor="_Toc236731066" w:history="1">
            <w:r w:rsidRPr="00B62DFD">
              <w:rPr>
                <w:rStyle w:val="Hyperlink"/>
                <w:rFonts w:ascii="Aptos Display" w:eastAsia="Aptos Display" w:hAnsi="Aptos Display"/>
              </w:rPr>
              <w:t>Rollen und Verantwortlichkeiten</w:t>
            </w:r>
            <w:r w:rsidRPr="00B62DFD">
              <w:rPr>
                <w:webHidden/>
              </w:rPr>
              <w:tab/>
            </w:r>
            <w:r w:rsidRPr="00B62DFD">
              <w:rPr>
                <w:webHidden/>
              </w:rPr>
              <w:fldChar w:fldCharType="begin"/>
            </w:r>
            <w:r w:rsidRPr="00B62DFD">
              <w:rPr>
                <w:webHidden/>
              </w:rPr>
              <w:instrText xml:space="preserve"> PAGEREF _Toc236731066 \h </w:instrText>
            </w:r>
            <w:r w:rsidRPr="00B62DFD">
              <w:rPr>
                <w:webHidden/>
              </w:rPr>
            </w:r>
            <w:r w:rsidRPr="00B62DFD">
              <w:rPr>
                <w:webHidden/>
              </w:rPr>
              <w:fldChar w:fldCharType="separate"/>
            </w:r>
            <w:r w:rsidRPr="00B62DFD">
              <w:rPr>
                <w:webHidden/>
              </w:rPr>
              <w:t>3</w:t>
            </w:r>
            <w:r w:rsidRPr="00B62DFD">
              <w:rPr>
                <w:webHidden/>
              </w:rPr>
              <w:fldChar w:fldCharType="end"/>
            </w:r>
          </w:hyperlink>
        </w:p>
        <w:p w14:paraId="6983F1BF" w14:textId="3B08384F" w:rsidR="000C14F8" w:rsidRPr="00B62DFD" w:rsidRDefault="000C14F8">
          <w:pPr>
            <w:pStyle w:val="TOC3"/>
            <w:tabs>
              <w:tab w:val="right" w:leader="dot" w:pos="10156"/>
            </w:tabs>
          </w:pPr>
          <w:hyperlink w:anchor="_Toc236731067" w:history="1">
            <w:r w:rsidRPr="00B62DFD">
              <w:rPr>
                <w:rStyle w:val="Hyperlink"/>
                <w:rFonts w:ascii="Aptos Display" w:eastAsia="Aptos Display" w:hAnsi="Aptos Display"/>
              </w:rPr>
              <w:t>Reaktionsschritte</w:t>
            </w:r>
            <w:r w:rsidRPr="00B62DFD">
              <w:rPr>
                <w:webHidden/>
              </w:rPr>
              <w:tab/>
            </w:r>
            <w:r w:rsidRPr="00B62DFD">
              <w:rPr>
                <w:webHidden/>
              </w:rPr>
              <w:fldChar w:fldCharType="begin"/>
            </w:r>
            <w:r w:rsidRPr="00B62DFD">
              <w:rPr>
                <w:webHidden/>
              </w:rPr>
              <w:instrText xml:space="preserve"> PAGEREF _Toc236731067 \h </w:instrText>
            </w:r>
            <w:r w:rsidRPr="00B62DFD">
              <w:rPr>
                <w:webHidden/>
              </w:rPr>
            </w:r>
            <w:r w:rsidRPr="00B62DFD">
              <w:rPr>
                <w:webHidden/>
              </w:rPr>
              <w:fldChar w:fldCharType="separate"/>
            </w:r>
            <w:r w:rsidRPr="00B62DFD">
              <w:rPr>
                <w:webHidden/>
              </w:rPr>
              <w:t>3</w:t>
            </w:r>
            <w:r w:rsidRPr="00B62DFD">
              <w:rPr>
                <w:webHidden/>
              </w:rPr>
              <w:fldChar w:fldCharType="end"/>
            </w:r>
          </w:hyperlink>
        </w:p>
        <w:p w14:paraId="05DE0A0D" w14:textId="4FC34AC7" w:rsidR="000C14F8" w:rsidRPr="00B62DFD" w:rsidRDefault="000C14F8">
          <w:pPr>
            <w:pStyle w:val="TOC2"/>
            <w:tabs>
              <w:tab w:val="right" w:leader="dot" w:pos="10156"/>
            </w:tabs>
          </w:pPr>
          <w:hyperlink w:anchor="_Toc236731068" w:history="1">
            <w:r w:rsidRPr="00B62DFD">
              <w:rPr>
                <w:rStyle w:val="Hyperlink"/>
                <w:rFonts w:ascii="Aptos Display" w:eastAsia="Aptos Display" w:hAnsi="Aptos Display"/>
              </w:rPr>
              <w:t>Anhang A: Ablaufdiagramm zur Reaktion auf Postfachkompromittierung</w:t>
            </w:r>
            <w:r w:rsidRPr="00B62DFD">
              <w:rPr>
                <w:webHidden/>
              </w:rPr>
              <w:tab/>
            </w:r>
            <w:r w:rsidRPr="00B62DFD">
              <w:rPr>
                <w:webHidden/>
              </w:rPr>
              <w:fldChar w:fldCharType="begin"/>
            </w:r>
            <w:r w:rsidRPr="00B62DFD">
              <w:rPr>
                <w:webHidden/>
              </w:rPr>
              <w:instrText xml:space="preserve"> PAGEREF _Toc236731068 \h </w:instrText>
            </w:r>
            <w:r w:rsidRPr="00B62DFD">
              <w:rPr>
                <w:webHidden/>
              </w:rPr>
            </w:r>
            <w:r w:rsidRPr="00B62DFD">
              <w:rPr>
                <w:webHidden/>
              </w:rPr>
              <w:fldChar w:fldCharType="separate"/>
            </w:r>
            <w:r w:rsidRPr="00B62DFD">
              <w:rPr>
                <w:webHidden/>
              </w:rPr>
              <w:t>6</w:t>
            </w:r>
            <w:r w:rsidRPr="00B62DFD">
              <w:rPr>
                <w:webHidden/>
              </w:rPr>
              <w:fldChar w:fldCharType="end"/>
            </w:r>
          </w:hyperlink>
        </w:p>
        <w:p w14:paraId="060AD3DE" w14:textId="12189FBE" w:rsidR="000C14F8" w:rsidRPr="00B62DFD" w:rsidRDefault="000C14F8">
          <w:r w:rsidRPr="00B62DFD">
            <w:rPr>
              <w:b/>
              <w:bCs/>
            </w:rPr>
            <w:fldChar w:fldCharType="end"/>
          </w:r>
        </w:p>
      </w:sdtContent>
    </w:sdt>
    <w:p w14:paraId="6C8B6244" w14:textId="77777777" w:rsidR="009C0598" w:rsidRPr="00B62DFD" w:rsidRDefault="006800BE">
      <w:r w:rsidRPr="00B62DFD">
        <w:br w:type="page"/>
      </w:r>
    </w:p>
    <w:p w14:paraId="3A45C74F" w14:textId="77777777" w:rsidR="009C0598" w:rsidRPr="00B62DFD" w:rsidRDefault="006800BE">
      <w:pPr>
        <w:spacing w:after="100" w:line="254" w:lineRule="auto"/>
      </w:pPr>
      <w:r w:rsidRPr="00B62DFD">
        <w:rPr>
          <w:b/>
          <w:sz w:val="28"/>
        </w:rPr>
        <w:lastRenderedPageBreak/>
        <w:t>Playbook zur Reaktion auf Postfachkompromittierung</w:t>
      </w:r>
    </w:p>
    <w:p w14:paraId="21FBFE3D" w14:textId="60504C98" w:rsidR="009C0598" w:rsidRPr="00B62DFD" w:rsidRDefault="00480729">
      <w:pPr>
        <w:pStyle w:val="Heading3"/>
        <w:spacing w:before="160" w:after="80"/>
        <w:rPr>
          <w:color w:val="auto"/>
        </w:rPr>
      </w:pPr>
      <w:bookmarkStart w:id="0" w:name="_Toc236731065"/>
      <w:r w:rsidRPr="00B62DFD">
        <w:rPr>
          <w:rFonts w:ascii="Aptos Display" w:eastAsia="Aptos Display" w:hAnsi="Aptos Display"/>
          <w:color w:val="auto"/>
        </w:rPr>
        <w:t xml:space="preserve">1.1 </w:t>
      </w:r>
      <w:r w:rsidR="006800BE" w:rsidRPr="00B62DFD">
        <w:rPr>
          <w:rFonts w:ascii="Aptos Display" w:eastAsia="Aptos Display" w:hAnsi="Aptos Display"/>
          <w:color w:val="auto"/>
        </w:rPr>
        <w:t>Erkennung</w:t>
      </w:r>
      <w:bookmarkEnd w:id="0"/>
    </w:p>
    <w:p w14:paraId="5B552A26" w14:textId="77777777" w:rsidR="009C0598" w:rsidRPr="00B62DFD" w:rsidRDefault="006800BE">
      <w:pPr>
        <w:spacing w:after="100" w:line="254" w:lineRule="auto"/>
      </w:pPr>
      <w:r w:rsidRPr="00B62DFD">
        <w:t xml:space="preserve">Eine Postfachkompromittierung liegt vor, wenn eine unbefugte Partei erfolgreich auf die </w:t>
      </w:r>
      <w:r w:rsidRPr="00B62DFD">
        <w:rPr>
          <w:highlight w:val="yellow"/>
        </w:rPr>
        <w:t>[E-MAIL-PLATTFORM]</w:t>
      </w:r>
      <w:r w:rsidRPr="00B62DFD">
        <w:t xml:space="preserve"> und/oder das Postfach eines oder mehrerer Mitarbeitender oder anderer Nutzer von </w:t>
      </w:r>
      <w:r w:rsidRPr="00B62DFD">
        <w:rPr>
          <w:highlight w:val="yellow"/>
        </w:rPr>
        <w:t>[UNTERNEHMENSNAME]</w:t>
      </w:r>
      <w:r w:rsidRPr="00B62DFD">
        <w:t xml:space="preserve"> zugegriffen hat.</w:t>
      </w:r>
    </w:p>
    <w:p w14:paraId="6D3ED249" w14:textId="77777777" w:rsidR="009C0598" w:rsidRPr="00B62DFD" w:rsidRDefault="006800BE">
      <w:pPr>
        <w:spacing w:after="100" w:line="254" w:lineRule="auto"/>
      </w:pPr>
      <w:r w:rsidRPr="00B62DFD">
        <w:t>Eine Postfachkompromittierung kann unter anderem durch folgende Hinweise erkannt werden:</w:t>
      </w:r>
    </w:p>
    <w:p w14:paraId="1E163C99" w14:textId="77777777" w:rsidR="009C0598" w:rsidRPr="00B62DFD" w:rsidRDefault="006800BE">
      <w:pPr>
        <w:pStyle w:val="ListBullet"/>
        <w:spacing w:after="40"/>
      </w:pPr>
      <w:r w:rsidRPr="00B62DFD">
        <w:rPr>
          <w:sz w:val="20"/>
        </w:rPr>
        <w:t xml:space="preserve">Anmeldungen oder andere Kontoaktivitäten in der </w:t>
      </w:r>
      <w:r w:rsidRPr="00B62DFD">
        <w:rPr>
          <w:sz w:val="20"/>
          <w:highlight w:val="yellow"/>
        </w:rPr>
        <w:t>[E-MAIL-PLATTFORM],</w:t>
      </w:r>
      <w:r w:rsidRPr="00B62DFD">
        <w:rPr>
          <w:sz w:val="20"/>
        </w:rPr>
        <w:t xml:space="preserve"> die durch den Service Desk oder das IT-Sicherheitsteam als verdächtig identifiziert werden.</w:t>
      </w:r>
    </w:p>
    <w:p w14:paraId="561F79A5" w14:textId="77777777" w:rsidR="009C0598" w:rsidRPr="00B62DFD" w:rsidRDefault="006800BE">
      <w:pPr>
        <w:pStyle w:val="ListBullet"/>
        <w:spacing w:after="40"/>
      </w:pPr>
      <w:r w:rsidRPr="00B62DFD">
        <w:rPr>
          <w:sz w:val="20"/>
        </w:rPr>
        <w:t xml:space="preserve">Gemeldete ungewöhnliche und/oder unbefugte Aktivitäten im Postfach eines Nutzers oder in anderen Ressourcen der </w:t>
      </w:r>
      <w:r w:rsidRPr="00B62DFD">
        <w:rPr>
          <w:sz w:val="20"/>
          <w:highlight w:val="yellow"/>
        </w:rPr>
        <w:t>[E-MAIL-PLATTFORM].</w:t>
      </w:r>
    </w:p>
    <w:p w14:paraId="108A9466" w14:textId="77777777" w:rsidR="009C0598" w:rsidRPr="00B62DFD" w:rsidRDefault="006800BE">
      <w:pPr>
        <w:pStyle w:val="ListBullet"/>
        <w:spacing w:after="40"/>
      </w:pPr>
      <w:r w:rsidRPr="00B62DFD">
        <w:rPr>
          <w:sz w:val="20"/>
        </w:rPr>
        <w:t xml:space="preserve">Gemeldete E-Mails, die vom Konto eines Nutzers der </w:t>
      </w:r>
      <w:r w:rsidRPr="00B62DFD">
        <w:rPr>
          <w:sz w:val="20"/>
          <w:highlight w:val="yellow"/>
        </w:rPr>
        <w:t>[E-MAIL-PLATTFORM]</w:t>
      </w:r>
      <w:r w:rsidRPr="00B62DFD">
        <w:rPr>
          <w:sz w:val="20"/>
        </w:rPr>
        <w:t xml:space="preserve"> versendet wurden und als verdächtig gelten oder nachweislich nicht vom rechtmäßigen Kontoinhaber gesendet wurden, beispielsweise versuchter Rechnungsbetrug.</w:t>
      </w:r>
    </w:p>
    <w:p w14:paraId="2F6BBE49" w14:textId="77777777" w:rsidR="009C0598" w:rsidRPr="00B62DFD" w:rsidRDefault="006800BE">
      <w:pPr>
        <w:pStyle w:val="ListBullet"/>
        <w:spacing w:after="40"/>
      </w:pPr>
      <w:r w:rsidRPr="00B62DFD">
        <w:rPr>
          <w:sz w:val="20"/>
        </w:rPr>
        <w:t>Mehrere MFA-Aufforderungen, die an einen Nutzer gesendet werden, um den Kontoinhaber zu verwirren und durch MFA-Fatigue zu einer Freigabe zu bewegen.</w:t>
      </w:r>
    </w:p>
    <w:p w14:paraId="5CB76AF4" w14:textId="77777777" w:rsidR="00480729" w:rsidRPr="00B62DFD" w:rsidRDefault="00480729" w:rsidP="00480729">
      <w:pPr>
        <w:pStyle w:val="ListBullet"/>
        <w:numPr>
          <w:ilvl w:val="0"/>
          <w:numId w:val="0"/>
        </w:numPr>
        <w:spacing w:after="40"/>
        <w:ind w:left="360"/>
      </w:pPr>
    </w:p>
    <w:p w14:paraId="536FB6F5" w14:textId="520509D0" w:rsidR="009C0598" w:rsidRPr="00B62DFD" w:rsidRDefault="00480729">
      <w:pPr>
        <w:pStyle w:val="Heading3"/>
        <w:spacing w:before="160" w:after="80"/>
        <w:rPr>
          <w:color w:val="000000" w:themeColor="text1"/>
        </w:rPr>
      </w:pPr>
      <w:bookmarkStart w:id="1" w:name="_Toc236731066"/>
      <w:r w:rsidRPr="00B62DFD">
        <w:rPr>
          <w:rFonts w:ascii="Aptos Display" w:eastAsia="Aptos Display" w:hAnsi="Aptos Display"/>
          <w:color w:val="000000" w:themeColor="text1"/>
        </w:rPr>
        <w:t xml:space="preserve">1.2 </w:t>
      </w:r>
      <w:r w:rsidR="006800BE" w:rsidRPr="00B62DFD">
        <w:rPr>
          <w:rFonts w:ascii="Aptos Display" w:eastAsia="Aptos Display" w:hAnsi="Aptos Display"/>
          <w:color w:val="000000" w:themeColor="text1"/>
        </w:rPr>
        <w:t>Rollen und Verantwortlichkeiten</w:t>
      </w:r>
      <w:bookmarkEnd w:id="1"/>
    </w:p>
    <w:p w14:paraId="7FCAB6EE" w14:textId="77777777" w:rsidR="009C0598" w:rsidRPr="00B62DFD" w:rsidRDefault="006800BE">
      <w:pPr>
        <w:pStyle w:val="ListBullet"/>
        <w:spacing w:after="40"/>
      </w:pPr>
      <w:r w:rsidRPr="00B62DFD">
        <w:rPr>
          <w:b/>
          <w:sz w:val="20"/>
        </w:rPr>
        <w:t>Cyber Security Incident Response Team (CSIRT):</w:t>
      </w:r>
      <w:r w:rsidRPr="00B62DFD">
        <w:rPr>
          <w:sz w:val="20"/>
        </w:rPr>
        <w:t xml:space="preserve"> Rollen und Verantwortlichkeiten sind in Abschnitt 3 des Plans zur Reaktion auf Cyber-Sicherheitsvorfälle definiert.</w:t>
      </w:r>
    </w:p>
    <w:p w14:paraId="1ED8D82D" w14:textId="1D6098DE" w:rsidR="009C0598" w:rsidRPr="00B62DFD" w:rsidRDefault="006800BE">
      <w:pPr>
        <w:pStyle w:val="ListBullet"/>
        <w:spacing w:after="40"/>
      </w:pPr>
      <w:r w:rsidRPr="00B62DFD">
        <w:rPr>
          <w:sz w:val="20"/>
        </w:rPr>
        <w:t>Das IT-Sicherheitsteam führt in der Regel die erste technische Reaktion durch, bei Bedarf unterstützt durch einen externen Cyber-Response-Dienstleister.</w:t>
      </w:r>
    </w:p>
    <w:p w14:paraId="1725677B" w14:textId="77777777" w:rsidR="00480729" w:rsidRPr="00B62DFD" w:rsidRDefault="00480729" w:rsidP="00480729">
      <w:pPr>
        <w:pStyle w:val="ListBullet"/>
        <w:numPr>
          <w:ilvl w:val="0"/>
          <w:numId w:val="0"/>
        </w:numPr>
        <w:spacing w:after="40"/>
        <w:ind w:left="360"/>
      </w:pPr>
    </w:p>
    <w:p w14:paraId="7FE9F8CE" w14:textId="56C3F983" w:rsidR="009C0598" w:rsidRPr="00B62DFD" w:rsidRDefault="00480729">
      <w:pPr>
        <w:pStyle w:val="Heading3"/>
        <w:spacing w:before="160" w:after="80"/>
        <w:rPr>
          <w:color w:val="000000" w:themeColor="text1"/>
        </w:rPr>
      </w:pPr>
      <w:bookmarkStart w:id="2" w:name="_Toc236731067"/>
      <w:r w:rsidRPr="00B62DFD">
        <w:rPr>
          <w:rFonts w:ascii="Aptos Display" w:eastAsia="Aptos Display" w:hAnsi="Aptos Display"/>
          <w:color w:val="000000" w:themeColor="text1"/>
        </w:rPr>
        <w:t xml:space="preserve">1.3 </w:t>
      </w:r>
      <w:r w:rsidR="006800BE" w:rsidRPr="00B62DFD">
        <w:rPr>
          <w:rFonts w:ascii="Aptos Display" w:eastAsia="Aptos Display" w:hAnsi="Aptos Display"/>
          <w:color w:val="000000" w:themeColor="text1"/>
        </w:rPr>
        <w:t>Reaktionsschritte</w:t>
      </w:r>
      <w:bookmarkEnd w:id="2"/>
    </w:p>
    <w:p w14:paraId="37BA455A" w14:textId="110EB7F7" w:rsidR="00480729" w:rsidRPr="00B62DFD" w:rsidRDefault="006800BE">
      <w:pPr>
        <w:spacing w:after="100" w:line="254" w:lineRule="auto"/>
      </w:pPr>
      <w:r w:rsidRPr="00B62DFD">
        <w:t>Ein Ablaufdiagramm mit zusätzlichen Leitlinien ist am Ende dieses Playbooks enthalten.</w:t>
      </w:r>
    </w:p>
    <w:p w14:paraId="26A3BC30" w14:textId="77777777" w:rsidR="00480729" w:rsidRPr="00B62DFD" w:rsidRDefault="00480729">
      <w:pPr>
        <w:spacing w:after="100" w:line="254" w:lineRule="auto"/>
      </w:pPr>
    </w:p>
    <w:p w14:paraId="308DA4D3" w14:textId="77777777" w:rsidR="009C0598" w:rsidRPr="00B62DFD" w:rsidRDefault="006800BE">
      <w:pPr>
        <w:spacing w:before="100" w:after="40" w:line="254" w:lineRule="auto"/>
      </w:pPr>
      <w:r w:rsidRPr="00B62DFD">
        <w:rPr>
          <w:b/>
        </w:rPr>
        <w:t>Risikominderung</w:t>
      </w:r>
    </w:p>
    <w:p w14:paraId="44F90D04" w14:textId="77777777" w:rsidR="009C0598" w:rsidRPr="00B62DFD" w:rsidRDefault="006800BE">
      <w:pPr>
        <w:spacing w:after="100" w:line="254" w:lineRule="auto"/>
      </w:pPr>
      <w:r w:rsidRPr="00B62DFD">
        <w:t>Auch wenn keine Sicherheitskontrolle vollständigen Schutz vor einer Postfachkompromittierung garantieren kann, reduziert ein mehrschichtiger Schutzansatz die Wahrscheinlichkeit eines erfolgreichen Angriffs erheblich. Folgende Maßnahmen sollten umgesetzt werden:</w:t>
      </w:r>
    </w:p>
    <w:p w14:paraId="21752E8B" w14:textId="77777777" w:rsidR="009C0598" w:rsidRPr="00B62DFD" w:rsidRDefault="006800BE">
      <w:pPr>
        <w:pStyle w:val="ListBullet"/>
        <w:spacing w:after="40"/>
      </w:pPr>
      <w:r w:rsidRPr="00B62DFD">
        <w:rPr>
          <w:sz w:val="20"/>
        </w:rPr>
        <w:t>MFA für alle Nutzer im E-Mail-Tenant erzwingen. Auch wenn MFA kein Allheilmittel ist, kann MFA weniger versierte Bedrohungsakteure von erfolgreicher Authentifizierung abhalten. Zur Abwehr fortgeschrittener Phishing-Angriffe, die häufig zu Postfachkompromittierungen führen, sind einige MFA-Implementierungen wirksamer als andere.</w:t>
      </w:r>
    </w:p>
    <w:p w14:paraId="2787470A" w14:textId="77777777" w:rsidR="009C0598" w:rsidRPr="00B62DFD" w:rsidRDefault="006800BE" w:rsidP="00480729">
      <w:pPr>
        <w:pStyle w:val="ListBullet"/>
        <w:numPr>
          <w:ilvl w:val="0"/>
          <w:numId w:val="10"/>
        </w:numPr>
        <w:spacing w:after="40"/>
      </w:pPr>
      <w:r w:rsidRPr="00B62DFD">
        <w:rPr>
          <w:sz w:val="20"/>
        </w:rPr>
        <w:t>Wenn möglich, einen FIDO2-zertifizierten Authenticator verwenden, zum Beispiel Windows Hello for Business oder einen YubiKey.</w:t>
      </w:r>
    </w:p>
    <w:p w14:paraId="0BBD1B7C" w14:textId="77777777" w:rsidR="009C0598" w:rsidRPr="00B62DFD" w:rsidRDefault="006800BE" w:rsidP="00480729">
      <w:pPr>
        <w:pStyle w:val="ListBullet"/>
        <w:numPr>
          <w:ilvl w:val="0"/>
          <w:numId w:val="10"/>
        </w:numPr>
        <w:spacing w:after="40"/>
      </w:pPr>
      <w:r w:rsidRPr="00B62DFD">
        <w:rPr>
          <w:sz w:val="20"/>
        </w:rPr>
        <w:t>Best-Practice-MFA mit Conditional-Access-Richtlinien kombinieren, sodass authentifizierende Geräte vertrauenswürdig oder compliant sein und von vertrauenswürdigen Standorten stammen müssen.</w:t>
      </w:r>
    </w:p>
    <w:p w14:paraId="70D41725" w14:textId="77777777" w:rsidR="009C0598" w:rsidRPr="00B62DFD" w:rsidRDefault="006800BE" w:rsidP="00480729">
      <w:pPr>
        <w:pStyle w:val="ListBullet"/>
        <w:numPr>
          <w:ilvl w:val="0"/>
          <w:numId w:val="10"/>
        </w:numPr>
        <w:spacing w:after="40"/>
      </w:pPr>
      <w:r w:rsidRPr="00B62DFD">
        <w:rPr>
          <w:sz w:val="20"/>
        </w:rPr>
        <w:t>Anwendungsbasierte MFA mit Push-Benachrichtigungen nach Möglichkeit vermeiden, da diese anfällig für Notification-Fatigue-Angriffe sein kann.</w:t>
      </w:r>
    </w:p>
    <w:p w14:paraId="1388E200" w14:textId="77777777" w:rsidR="009C0598" w:rsidRPr="00B62DFD" w:rsidRDefault="006800BE" w:rsidP="00480729">
      <w:pPr>
        <w:pStyle w:val="ListBullet"/>
        <w:numPr>
          <w:ilvl w:val="0"/>
          <w:numId w:val="10"/>
        </w:numPr>
        <w:spacing w:after="40"/>
      </w:pPr>
      <w:r w:rsidRPr="00B62DFD">
        <w:rPr>
          <w:sz w:val="20"/>
        </w:rPr>
        <w:t>MFA-Lösungen auf Basis von SMS oder Einmalpasswörtern über Authenticator-Anwendungen vermeiden, da diese für mehrere Abfangmethoden anfällig sind.</w:t>
      </w:r>
    </w:p>
    <w:p w14:paraId="0552E1B6" w14:textId="77777777" w:rsidR="009C0598" w:rsidRPr="00B62DFD" w:rsidRDefault="006800BE">
      <w:pPr>
        <w:pStyle w:val="ListBullet"/>
        <w:spacing w:after="40"/>
      </w:pPr>
      <w:r w:rsidRPr="00B62DFD">
        <w:rPr>
          <w:sz w:val="20"/>
        </w:rPr>
        <w:t>Legacy-E-Mail-Protokolle deaktivieren, die für Geschäftszwecke nicht zwingend erforderlich sind. Legacy-Protokolle können es Bedrohungsakteuren ermöglichen, MFA zu umgehen und Teile des Postfachs auf einen lokalen Client herunterzuladen.</w:t>
      </w:r>
    </w:p>
    <w:p w14:paraId="57A9B013" w14:textId="77777777" w:rsidR="009C0598" w:rsidRPr="00B62DFD" w:rsidRDefault="006800BE">
      <w:pPr>
        <w:pStyle w:val="ListBullet"/>
        <w:spacing w:after="40"/>
      </w:pPr>
      <w:r w:rsidRPr="00B62DFD">
        <w:rPr>
          <w:sz w:val="20"/>
        </w:rPr>
        <w:lastRenderedPageBreak/>
        <w:t>Dark-Web-Monitoring auf kompromittierte Zugangsdaten durchführen. Wenn ein Nutzer in einem Datenleck identifiziert wird, sollte dessen Passwort umgehend geändert werden.</w:t>
      </w:r>
    </w:p>
    <w:p w14:paraId="23D4A225" w14:textId="77777777" w:rsidR="009C0598" w:rsidRPr="00B62DFD" w:rsidRDefault="006800BE">
      <w:pPr>
        <w:pStyle w:val="ListBullet"/>
        <w:spacing w:after="40"/>
      </w:pPr>
      <w:r w:rsidRPr="00B62DFD">
        <w:rPr>
          <w:sz w:val="20"/>
        </w:rPr>
        <w:t>Prüfen, ob externe Tenants daran gehindert werden sollten, Chats mit Nutzern in Teams zu starten, sofern dies geschäftlich nicht erforderlich ist.</w:t>
      </w:r>
    </w:p>
    <w:p w14:paraId="2F5D25BB" w14:textId="77777777" w:rsidR="009C0598" w:rsidRPr="00B62DFD" w:rsidRDefault="006800BE">
      <w:pPr>
        <w:pStyle w:val="ListBullet"/>
        <w:spacing w:after="40"/>
      </w:pPr>
      <w:r w:rsidRPr="00B62DFD">
        <w:rPr>
          <w:sz w:val="20"/>
        </w:rPr>
        <w:t>Regelmäßige Phishing-Awareness-Schulungen und Phishing-Simulationen durchführen. Diese sollten, soweit möglich, dem aktuellen Reifegrad der Angriffsmethoden entsprechen.</w:t>
      </w:r>
    </w:p>
    <w:p w14:paraId="237D4AEE" w14:textId="77777777" w:rsidR="009C0598" w:rsidRPr="00B62DFD" w:rsidRDefault="006800BE">
      <w:pPr>
        <w:pStyle w:val="ListBullet"/>
        <w:spacing w:after="40"/>
      </w:pPr>
      <w:r w:rsidRPr="00B62DFD">
        <w:rPr>
          <w:sz w:val="20"/>
        </w:rPr>
        <w:t>DMARC in Betracht ziehen, um zu verhindern, dass unbefugte Personen Phishing-E-Mails über die Organisationsdomäne versenden.</w:t>
      </w:r>
    </w:p>
    <w:p w14:paraId="1C039900" w14:textId="77777777" w:rsidR="00C814D4" w:rsidRPr="00B62DFD" w:rsidRDefault="00C814D4" w:rsidP="00C814D4">
      <w:pPr>
        <w:pStyle w:val="ListBullet"/>
        <w:numPr>
          <w:ilvl w:val="0"/>
          <w:numId w:val="0"/>
        </w:numPr>
        <w:spacing w:after="40"/>
        <w:ind w:left="360"/>
      </w:pPr>
    </w:p>
    <w:p w14:paraId="18B057B1" w14:textId="77777777" w:rsidR="009C0598" w:rsidRPr="00B62DFD" w:rsidRDefault="006800BE">
      <w:pPr>
        <w:spacing w:before="100" w:after="40" w:line="254" w:lineRule="auto"/>
      </w:pPr>
      <w:r w:rsidRPr="00B62DFD">
        <w:rPr>
          <w:b/>
        </w:rPr>
        <w:t>Erste Eindämmung</w:t>
      </w:r>
    </w:p>
    <w:p w14:paraId="4020E2DD" w14:textId="77777777" w:rsidR="009C0598" w:rsidRPr="00B62DFD" w:rsidRDefault="006800BE">
      <w:pPr>
        <w:spacing w:after="100" w:line="254" w:lineRule="auto"/>
      </w:pPr>
      <w:r w:rsidRPr="00B62DFD">
        <w:t>Nach Erkennung einer Postfachkompromittierung sollte das IT-Sicherheitsteam:</w:t>
      </w:r>
    </w:p>
    <w:p w14:paraId="48AC0FA7" w14:textId="77777777" w:rsidR="009C0598" w:rsidRPr="00B62DFD" w:rsidRDefault="006800BE">
      <w:pPr>
        <w:pStyle w:val="ListBullet"/>
        <w:spacing w:after="40"/>
      </w:pPr>
      <w:r w:rsidRPr="00B62DFD">
        <w:rPr>
          <w:sz w:val="20"/>
        </w:rPr>
        <w:t>Den Zugriff auf potenziell kompromittierte Konten deaktivieren.</w:t>
      </w:r>
    </w:p>
    <w:p w14:paraId="0BE14B91" w14:textId="77777777" w:rsidR="009C0598" w:rsidRPr="00B62DFD" w:rsidRDefault="006800BE">
      <w:pPr>
        <w:pStyle w:val="ListBullet"/>
        <w:spacing w:after="40"/>
      </w:pPr>
      <w:r w:rsidRPr="00B62DFD">
        <w:rPr>
          <w:sz w:val="20"/>
        </w:rPr>
        <w:t>Sitzungszugriffe für diese Konten widerrufen.</w:t>
      </w:r>
    </w:p>
    <w:p w14:paraId="5D1CC19B" w14:textId="77777777" w:rsidR="009C0598" w:rsidRPr="00B62DFD" w:rsidRDefault="006800BE">
      <w:pPr>
        <w:pStyle w:val="ListBullet"/>
        <w:spacing w:after="40"/>
      </w:pPr>
      <w:r w:rsidRPr="00B62DFD">
        <w:rPr>
          <w:sz w:val="20"/>
        </w:rPr>
        <w:t>Eine Passwortänderung für die kompromittierten Konten erzwingen.</w:t>
      </w:r>
    </w:p>
    <w:p w14:paraId="333C3F89" w14:textId="77777777" w:rsidR="009C0598" w:rsidRPr="00B62DFD" w:rsidRDefault="006800BE">
      <w:pPr>
        <w:pStyle w:val="ListBullet"/>
        <w:spacing w:after="40"/>
      </w:pPr>
      <w:r w:rsidRPr="00B62DFD">
        <w:rPr>
          <w:sz w:val="20"/>
        </w:rPr>
        <w:t>Postfachregeln prüfen, um sicherzustellen, dass keine Weiterleitungsregeln oder andere unbefugte Regeln vorhanden sind, die der Bedrohungsakteur eingerichtet haben könnte.</w:t>
      </w:r>
    </w:p>
    <w:p w14:paraId="295E37A6" w14:textId="77777777" w:rsidR="009C0598" w:rsidRPr="00B62DFD" w:rsidRDefault="006800BE">
      <w:pPr>
        <w:pStyle w:val="ListBullet"/>
        <w:spacing w:after="40"/>
      </w:pPr>
      <w:r w:rsidRPr="00B62DFD">
        <w:rPr>
          <w:sz w:val="20"/>
        </w:rPr>
        <w:t>Sicherstellen, dass Persistenzmechanismen, einschließlich geänderter Zugriffberechtigungen, Postfach- oder Weiterleitungsregeln, Anwendungsberechtigungen oder gerätebasierter Malware-Installationen, behoben werden.</w:t>
      </w:r>
    </w:p>
    <w:p w14:paraId="1E899CB8" w14:textId="77777777" w:rsidR="009C0598" w:rsidRPr="00B62DFD" w:rsidRDefault="006800BE">
      <w:pPr>
        <w:spacing w:after="100" w:line="254" w:lineRule="auto"/>
      </w:pPr>
      <w:r w:rsidRPr="00B62DFD">
        <w:t>Diese Schritte müssen möglicherweise wiederholt werden, wenn später weitere kompromittierte Konten identifiziert werden.</w:t>
      </w:r>
    </w:p>
    <w:p w14:paraId="23BC4C74" w14:textId="77777777" w:rsidR="00C814D4" w:rsidRPr="00B62DFD" w:rsidRDefault="00C814D4">
      <w:pPr>
        <w:spacing w:after="100" w:line="254" w:lineRule="auto"/>
      </w:pPr>
    </w:p>
    <w:p w14:paraId="204E0847" w14:textId="77777777" w:rsidR="009C0598" w:rsidRPr="00B62DFD" w:rsidRDefault="006800BE">
      <w:pPr>
        <w:spacing w:before="100" w:after="40" w:line="254" w:lineRule="auto"/>
      </w:pPr>
      <w:r w:rsidRPr="00B62DFD">
        <w:rPr>
          <w:b/>
        </w:rPr>
        <w:t>Eskalation</w:t>
      </w:r>
    </w:p>
    <w:p w14:paraId="6CA03F91" w14:textId="77777777" w:rsidR="009C0598" w:rsidRPr="00B62DFD" w:rsidRDefault="006800BE">
      <w:pPr>
        <w:spacing w:after="100" w:line="254" w:lineRule="auto"/>
      </w:pPr>
      <w:r w:rsidRPr="00B62DFD">
        <w:t>Der Vorfall sollte gemäß Abschnitt 4.2 des Plans zur Reaktion auf Cyber-Sicherheitsvorfälle triagiert und eskaliert werden.</w:t>
      </w:r>
    </w:p>
    <w:p w14:paraId="361AA9EE" w14:textId="77777777" w:rsidR="00C814D4" w:rsidRPr="00B62DFD" w:rsidRDefault="00C814D4">
      <w:pPr>
        <w:spacing w:after="100" w:line="254" w:lineRule="auto"/>
      </w:pPr>
    </w:p>
    <w:p w14:paraId="5AB38B38" w14:textId="77777777" w:rsidR="009C0598" w:rsidRPr="00B62DFD" w:rsidRDefault="006800BE">
      <w:pPr>
        <w:spacing w:before="100" w:after="40" w:line="254" w:lineRule="auto"/>
      </w:pPr>
      <w:r w:rsidRPr="00B62DFD">
        <w:rPr>
          <w:b/>
        </w:rPr>
        <w:t>Beweissicherung</w:t>
      </w:r>
    </w:p>
    <w:p w14:paraId="34F0D2C3" w14:textId="77777777" w:rsidR="009C0598" w:rsidRPr="00B62DFD" w:rsidRDefault="006800BE">
      <w:pPr>
        <w:spacing w:after="100" w:line="254" w:lineRule="auto"/>
      </w:pPr>
      <w:r w:rsidRPr="00B62DFD">
        <w:t>Relevante Beweise können Folgendes umfassen:</w:t>
      </w:r>
    </w:p>
    <w:p w14:paraId="15D26081" w14:textId="77777777" w:rsidR="009C0598" w:rsidRPr="00B62DFD" w:rsidRDefault="006800BE">
      <w:pPr>
        <w:pStyle w:val="ListBullet"/>
        <w:spacing w:after="40"/>
      </w:pPr>
      <w:r w:rsidRPr="00B62DFD">
        <w:rPr>
          <w:sz w:val="20"/>
          <w:highlight w:val="yellow"/>
        </w:rPr>
        <w:t>[PROTOKOLLNAME]-</w:t>
      </w:r>
      <w:r w:rsidRPr="00B62DFD">
        <w:rPr>
          <w:sz w:val="20"/>
        </w:rPr>
        <w:t xml:space="preserve">Logs aus der </w:t>
      </w:r>
      <w:r w:rsidRPr="00B62DFD">
        <w:rPr>
          <w:sz w:val="20"/>
          <w:highlight w:val="yellow"/>
        </w:rPr>
        <w:t>[E-MAIL-PLATTFORM]</w:t>
      </w:r>
      <w:r w:rsidRPr="00B62DFD">
        <w:rPr>
          <w:sz w:val="20"/>
        </w:rPr>
        <w:t xml:space="preserve"> von </w:t>
      </w:r>
      <w:r w:rsidRPr="00B62DFD">
        <w:rPr>
          <w:sz w:val="20"/>
          <w:highlight w:val="yellow"/>
        </w:rPr>
        <w:t>[UNTERNEHMENSNAME]</w:t>
      </w:r>
      <w:r w:rsidRPr="00B62DFD">
        <w:rPr>
          <w:sz w:val="20"/>
        </w:rPr>
        <w:t xml:space="preserve"> sowie weitere relevante Logs aus der </w:t>
      </w:r>
      <w:r w:rsidRPr="00B62DFD">
        <w:rPr>
          <w:sz w:val="20"/>
          <w:highlight w:val="yellow"/>
        </w:rPr>
        <w:t>[E-MAIL-SICHERHEITS]-</w:t>
      </w:r>
      <w:r w:rsidRPr="00B62DFD">
        <w:rPr>
          <w:sz w:val="20"/>
        </w:rPr>
        <w:t xml:space="preserve">Plattform von </w:t>
      </w:r>
      <w:r w:rsidRPr="00B62DFD">
        <w:rPr>
          <w:sz w:val="20"/>
          <w:highlight w:val="yellow"/>
        </w:rPr>
        <w:t>[UNTERNEHMENSNAME].</w:t>
      </w:r>
    </w:p>
    <w:p w14:paraId="42CCEA4A" w14:textId="77777777" w:rsidR="009C0598" w:rsidRPr="00B62DFD" w:rsidRDefault="006800BE">
      <w:pPr>
        <w:pStyle w:val="ListBullet"/>
        <w:spacing w:after="40"/>
      </w:pPr>
      <w:r w:rsidRPr="00B62DFD">
        <w:rPr>
          <w:sz w:val="20"/>
        </w:rPr>
        <w:t>Andere relevante Einstellungen und Berechtigungen innerhalb der [</w:t>
      </w:r>
      <w:r w:rsidRPr="00B62DFD">
        <w:rPr>
          <w:sz w:val="20"/>
          <w:highlight w:val="yellow"/>
        </w:rPr>
        <w:t>E-MAIL-PLATTFORM]</w:t>
      </w:r>
      <w:r w:rsidRPr="00B62DFD">
        <w:rPr>
          <w:sz w:val="20"/>
        </w:rPr>
        <w:t xml:space="preserve"> von </w:t>
      </w:r>
      <w:r w:rsidRPr="00B62DFD">
        <w:rPr>
          <w:sz w:val="20"/>
          <w:highlight w:val="yellow"/>
        </w:rPr>
        <w:t>[UNTERNEHMENSNAME].</w:t>
      </w:r>
    </w:p>
    <w:p w14:paraId="4A44DFEA" w14:textId="77777777" w:rsidR="009C0598" w:rsidRPr="00B62DFD" w:rsidRDefault="006800BE">
      <w:pPr>
        <w:pStyle w:val="ListBullet"/>
        <w:spacing w:after="40"/>
      </w:pPr>
      <w:r w:rsidRPr="00B62DFD">
        <w:rPr>
          <w:sz w:val="20"/>
        </w:rPr>
        <w:t xml:space="preserve">E-Mail-Protokolle aus der </w:t>
      </w:r>
      <w:r w:rsidRPr="00B62DFD">
        <w:rPr>
          <w:sz w:val="20"/>
          <w:highlight w:val="yellow"/>
        </w:rPr>
        <w:t>[E-MAIL-PLATTFORM]</w:t>
      </w:r>
      <w:r w:rsidRPr="00B62DFD">
        <w:rPr>
          <w:sz w:val="20"/>
        </w:rPr>
        <w:t xml:space="preserve"> und/oder den </w:t>
      </w:r>
      <w:r w:rsidRPr="00B62DFD">
        <w:rPr>
          <w:sz w:val="20"/>
          <w:highlight w:val="yellow"/>
        </w:rPr>
        <w:t>[E-MAIL-SICHERHEITS]-</w:t>
      </w:r>
      <w:r w:rsidRPr="00B62DFD">
        <w:rPr>
          <w:sz w:val="20"/>
        </w:rPr>
        <w:t xml:space="preserve">Plattformen von </w:t>
      </w:r>
      <w:r w:rsidRPr="00B62DFD">
        <w:rPr>
          <w:sz w:val="20"/>
          <w:highlight w:val="yellow"/>
        </w:rPr>
        <w:t>[UNTERNEHMENSNAME].</w:t>
      </w:r>
    </w:p>
    <w:p w14:paraId="4F4EF557" w14:textId="77777777" w:rsidR="009C0598" w:rsidRPr="00B62DFD" w:rsidRDefault="006800BE">
      <w:pPr>
        <w:pStyle w:val="ListBullet"/>
        <w:spacing w:after="40"/>
      </w:pPr>
      <w:r w:rsidRPr="00B62DFD">
        <w:rPr>
          <w:sz w:val="20"/>
        </w:rPr>
        <w:t>Kopien von E-Mails, die potenziell von kompromittierten Konten gesendet oder empfangen wurden.</w:t>
      </w:r>
    </w:p>
    <w:p w14:paraId="2326E293" w14:textId="77777777" w:rsidR="009C0598" w:rsidRPr="00B62DFD" w:rsidRDefault="006800BE">
      <w:pPr>
        <w:pStyle w:val="ListBullet"/>
        <w:spacing w:after="40"/>
      </w:pPr>
      <w:r w:rsidRPr="00B62DFD">
        <w:rPr>
          <w:sz w:val="20"/>
        </w:rPr>
        <w:t xml:space="preserve">Aussagen relevanter Nutzer von </w:t>
      </w:r>
      <w:r w:rsidRPr="00B62DFD">
        <w:rPr>
          <w:sz w:val="20"/>
          <w:highlight w:val="yellow"/>
        </w:rPr>
        <w:t>[UNTERNEHMENSNAME]</w:t>
      </w:r>
      <w:r w:rsidRPr="00B62DFD">
        <w:rPr>
          <w:sz w:val="20"/>
        </w:rPr>
        <w:t xml:space="preserve"> oder Empfänger von E-Mails bei Dritten.</w:t>
      </w:r>
    </w:p>
    <w:p w14:paraId="25CEDE52" w14:textId="77777777" w:rsidR="009C0598" w:rsidRPr="00B62DFD" w:rsidRDefault="006800BE">
      <w:pPr>
        <w:spacing w:after="100" w:line="254" w:lineRule="auto"/>
      </w:pPr>
      <w:r w:rsidRPr="00B62DFD">
        <w:t xml:space="preserve">Eine erste Analyse der Beweise kann häufig direkt innerhalb der </w:t>
      </w:r>
      <w:r w:rsidRPr="00B62DFD">
        <w:rPr>
          <w:highlight w:val="yellow"/>
        </w:rPr>
        <w:t>[E-MAIL-PLATTFORM]</w:t>
      </w:r>
      <w:r w:rsidRPr="00B62DFD">
        <w:t xml:space="preserve"> durchgeführt werden.</w:t>
      </w:r>
    </w:p>
    <w:p w14:paraId="0C33BD1E" w14:textId="77777777" w:rsidR="009C0598" w:rsidRPr="00B62DFD" w:rsidRDefault="006800BE">
      <w:pPr>
        <w:spacing w:after="100" w:line="254" w:lineRule="auto"/>
      </w:pPr>
      <w:r w:rsidRPr="00B62DFD">
        <w:t xml:space="preserve">Wenn jedoch eine Postfachkompromittierung eingetreten ist, sollten Beweise zum Vorfall zu einem geeigneten Zeitpunkt erfasst und sicher gespeichert werden, um ihren Verlust zu verhindern. Dies umfasst E-Mails zur Vermeidung von Löschung sowie relevante </w:t>
      </w:r>
      <w:r w:rsidRPr="00B62DFD">
        <w:rPr>
          <w:highlight w:val="yellow"/>
        </w:rPr>
        <w:t>[PROTOKOLLNAME]-</w:t>
      </w:r>
      <w:r w:rsidRPr="00B62DFD">
        <w:t>Logs zur Vermeidung von Datenverlust durch Protokoll-Rollover.</w:t>
      </w:r>
    </w:p>
    <w:p w14:paraId="37EAECC2" w14:textId="77777777" w:rsidR="009C0598" w:rsidRPr="00B62DFD" w:rsidRDefault="006800BE">
      <w:pPr>
        <w:spacing w:after="100" w:line="254" w:lineRule="auto"/>
      </w:pPr>
      <w:r w:rsidRPr="00B62DFD">
        <w:t>Die Beweiserfassung sollte durch das IT-Sicherheitsteam und/oder einen externen Cyber-Response-Dienstleister durchgeführt werden. Zusätzliche Beweissicherungsmaßnahmen können durch Rechtsberatung empfohlen werden.</w:t>
      </w:r>
    </w:p>
    <w:p w14:paraId="6DE1D937" w14:textId="77777777" w:rsidR="00C814D4" w:rsidRPr="00B62DFD" w:rsidRDefault="00C814D4">
      <w:pPr>
        <w:spacing w:after="100" w:line="254" w:lineRule="auto"/>
      </w:pPr>
    </w:p>
    <w:p w14:paraId="4A89A58B" w14:textId="77777777" w:rsidR="009C0598" w:rsidRPr="00B62DFD" w:rsidRDefault="006800BE">
      <w:pPr>
        <w:spacing w:before="100" w:after="40" w:line="254" w:lineRule="auto"/>
      </w:pPr>
      <w:r w:rsidRPr="00B62DFD">
        <w:rPr>
          <w:b/>
        </w:rPr>
        <w:lastRenderedPageBreak/>
        <w:t>Analyse</w:t>
      </w:r>
    </w:p>
    <w:p w14:paraId="1DA0A1E3" w14:textId="77777777" w:rsidR="009C0598" w:rsidRPr="00B62DFD" w:rsidRDefault="006800BE">
      <w:pPr>
        <w:spacing w:after="100" w:line="254" w:lineRule="auto"/>
      </w:pPr>
      <w:r w:rsidRPr="00B62DFD">
        <w:t>Verfügbare Beweise sollten durch das IT-Sicherheitsteam und/oder einen externen Cyber-Response-Dienstleister geprüft werden, um soweit möglich Folgendes festzustellen:</w:t>
      </w:r>
    </w:p>
    <w:p w14:paraId="366F3385" w14:textId="77777777" w:rsidR="009C0598" w:rsidRPr="00B62DFD" w:rsidRDefault="006800BE">
      <w:pPr>
        <w:pStyle w:val="ListBullet"/>
        <w:spacing w:after="40"/>
      </w:pPr>
      <w:r w:rsidRPr="00B62DFD">
        <w:rPr>
          <w:sz w:val="20"/>
        </w:rPr>
        <w:t xml:space="preserve">Wie viele Konten der </w:t>
      </w:r>
      <w:r w:rsidRPr="00B62DFD">
        <w:rPr>
          <w:sz w:val="20"/>
          <w:highlight w:val="yellow"/>
        </w:rPr>
        <w:t>[E-MAIL-PLATTFORM]</w:t>
      </w:r>
      <w:r w:rsidRPr="00B62DFD">
        <w:rPr>
          <w:sz w:val="20"/>
        </w:rPr>
        <w:t xml:space="preserve"> von </w:t>
      </w:r>
      <w:r w:rsidRPr="00B62DFD">
        <w:rPr>
          <w:sz w:val="20"/>
          <w:highlight w:val="yellow"/>
        </w:rPr>
        <w:t>[UNTERNEHMENSNAME]</w:t>
      </w:r>
      <w:r w:rsidRPr="00B62DFD">
        <w:rPr>
          <w:sz w:val="20"/>
        </w:rPr>
        <w:t xml:space="preserve"> kompromittiert wurden und über welchen Zeitraum.</w:t>
      </w:r>
    </w:p>
    <w:p w14:paraId="631835AE" w14:textId="77777777" w:rsidR="009C0598" w:rsidRPr="00B62DFD" w:rsidRDefault="006800BE">
      <w:pPr>
        <w:pStyle w:val="ListBullet"/>
        <w:spacing w:after="40"/>
      </w:pPr>
      <w:r w:rsidRPr="00B62DFD">
        <w:rPr>
          <w:sz w:val="20"/>
        </w:rPr>
        <w:t xml:space="preserve">Wie die Konten von </w:t>
      </w:r>
      <w:r w:rsidRPr="00B62DFD">
        <w:rPr>
          <w:sz w:val="20"/>
          <w:highlight w:val="yellow"/>
        </w:rPr>
        <w:t>[UNTERNEHMENSNAME]</w:t>
      </w:r>
      <w:r w:rsidRPr="00B62DFD">
        <w:rPr>
          <w:sz w:val="20"/>
        </w:rPr>
        <w:t xml:space="preserve"> ursprünglich kompromittiert wurden.</w:t>
      </w:r>
    </w:p>
    <w:p w14:paraId="32D02F2D" w14:textId="77777777" w:rsidR="009C0598" w:rsidRPr="00B62DFD" w:rsidRDefault="006800BE">
      <w:pPr>
        <w:pStyle w:val="ListBullet"/>
        <w:spacing w:after="40"/>
      </w:pPr>
      <w:r w:rsidRPr="00B62DFD">
        <w:rPr>
          <w:sz w:val="20"/>
        </w:rPr>
        <w:t>Welche Aktivitäten der Angreifer mit den kompromittierten Konten durchgeführt hat.</w:t>
      </w:r>
    </w:p>
    <w:p w14:paraId="77AE9874" w14:textId="77777777" w:rsidR="009C0598" w:rsidRPr="00B62DFD" w:rsidRDefault="006800BE">
      <w:pPr>
        <w:pStyle w:val="ListBullet"/>
        <w:spacing w:after="40"/>
      </w:pPr>
      <w:r w:rsidRPr="00B62DFD">
        <w:rPr>
          <w:sz w:val="20"/>
        </w:rPr>
        <w:t>Welche Daten vom Angreifer eingesehen oder abgerufen wurden.</w:t>
      </w:r>
    </w:p>
    <w:p w14:paraId="001B8272" w14:textId="77777777" w:rsidR="009C0598" w:rsidRPr="00B62DFD" w:rsidRDefault="006800BE">
      <w:pPr>
        <w:pStyle w:val="ListBullet"/>
        <w:spacing w:after="40"/>
      </w:pPr>
      <w:r w:rsidRPr="00B62DFD">
        <w:rPr>
          <w:sz w:val="20"/>
        </w:rPr>
        <w:t xml:space="preserve">Welche Persistenzmechanismen, einschließlich neuer Konten, Zugriffe, Postfach- oder Weiterleitungsregeln, Anwendungsberechtigungen oder gerätebasierter Malware-Installationen, durch den Angreifer innerhalb der Plattformen von </w:t>
      </w:r>
      <w:r w:rsidRPr="00B62DFD">
        <w:rPr>
          <w:sz w:val="20"/>
          <w:highlight w:val="yellow"/>
        </w:rPr>
        <w:t>[UNTERNEHMENSNAME]</w:t>
      </w:r>
      <w:r w:rsidRPr="00B62DFD">
        <w:rPr>
          <w:sz w:val="20"/>
        </w:rPr>
        <w:t xml:space="preserve"> eingesetzt wurden.</w:t>
      </w:r>
    </w:p>
    <w:p w14:paraId="3A67FCE5" w14:textId="77777777" w:rsidR="009C0598" w:rsidRPr="00B62DFD" w:rsidRDefault="006800BE">
      <w:pPr>
        <w:spacing w:after="100" w:line="254" w:lineRule="auto"/>
      </w:pPr>
      <w:r w:rsidRPr="00B62DFD">
        <w:t xml:space="preserve">Erkenntnisse sollten regelmäßig an relevante Mitglieder des </w:t>
      </w:r>
      <w:r w:rsidRPr="00B62DFD">
        <w:rPr>
          <w:highlight w:val="yellow"/>
        </w:rPr>
        <w:t>[Management Team</w:t>
      </w:r>
      <w:r w:rsidRPr="00B62DFD">
        <w:t>] berichtet werden. Wenn weitere kompromittierte Konten oder Persistenzmechanismen entdeckt werden, müssen diese unverzüglich an das IT-Sicherheitsteam zur Eindämmung gemeldet werden.</w:t>
      </w:r>
    </w:p>
    <w:p w14:paraId="425DC0D9" w14:textId="77777777" w:rsidR="009C0598" w:rsidRPr="00B62DFD" w:rsidRDefault="006800BE">
      <w:pPr>
        <w:spacing w:after="100" w:line="254" w:lineRule="auto"/>
      </w:pPr>
      <w:r w:rsidRPr="00B62DFD">
        <w:t>Wenn ein Datenvorfall identifiziert wird, sollte dieser gemäß dem Playbook zur Reaktion auf Datenvorfälle angemessen behandelt werden.</w:t>
      </w:r>
    </w:p>
    <w:p w14:paraId="45334C73" w14:textId="77777777" w:rsidR="0023326D" w:rsidRPr="00B62DFD" w:rsidRDefault="0023326D">
      <w:pPr>
        <w:spacing w:after="100" w:line="254" w:lineRule="auto"/>
      </w:pPr>
    </w:p>
    <w:p w14:paraId="21BC1D06" w14:textId="77777777" w:rsidR="009C0598" w:rsidRPr="00B62DFD" w:rsidRDefault="006800BE">
      <w:pPr>
        <w:spacing w:before="100" w:after="40" w:line="254" w:lineRule="auto"/>
      </w:pPr>
      <w:r w:rsidRPr="00B62DFD">
        <w:rPr>
          <w:b/>
        </w:rPr>
        <w:t>Beseitigung</w:t>
      </w:r>
    </w:p>
    <w:p w14:paraId="48B24100" w14:textId="77777777" w:rsidR="009C0598" w:rsidRPr="00B62DFD" w:rsidRDefault="006800BE">
      <w:pPr>
        <w:spacing w:after="100" w:line="254" w:lineRule="auto"/>
      </w:pPr>
      <w:r w:rsidRPr="00B62DFD">
        <w:t>Kompromittierte Konten sollten vor der Wiederherstellung des Nutzerzugriffs gegen weiteren unbefugten Zugriff abgesichert werden. Dies umfasst:</w:t>
      </w:r>
    </w:p>
    <w:p w14:paraId="79748453" w14:textId="77777777" w:rsidR="009C0598" w:rsidRPr="00B62DFD" w:rsidRDefault="006800BE">
      <w:pPr>
        <w:pStyle w:val="ListBullet"/>
        <w:spacing w:after="40"/>
      </w:pPr>
      <w:r w:rsidRPr="00B62DFD">
        <w:rPr>
          <w:sz w:val="20"/>
        </w:rPr>
        <w:t>Sicherstellen, dass geeignete Sicherheitskontrollen, einschließlich Multi-Faktor-Authentifizierung und geeigneter Zugriffsrichtlinien, vorhanden sind, um das Risiko weiterer Kompromittierung zu mindern.</w:t>
      </w:r>
    </w:p>
    <w:p w14:paraId="06055081" w14:textId="77777777" w:rsidR="009C0598" w:rsidRPr="00B62DFD" w:rsidRDefault="006800BE">
      <w:pPr>
        <w:pStyle w:val="ListBullet"/>
        <w:spacing w:after="40"/>
      </w:pPr>
      <w:r w:rsidRPr="00B62DFD">
        <w:rPr>
          <w:sz w:val="20"/>
        </w:rPr>
        <w:t>Sicherstellen, dass der Nutzer über fortbestehende potenzielle Risiken im Zusammenhang mit dem Vorfall informiert ist, und, sofern angemessen, relevante Phishing- oder andere schädliche E-Mails aus Benutzerpostfächern löschen.</w:t>
      </w:r>
    </w:p>
    <w:p w14:paraId="14EE0B28" w14:textId="77777777" w:rsidR="009C0598" w:rsidRPr="00B62DFD" w:rsidRDefault="006800BE">
      <w:pPr>
        <w:spacing w:after="100" w:line="254" w:lineRule="auto"/>
      </w:pPr>
      <w:r w:rsidRPr="00B62DFD">
        <w:t xml:space="preserve">Während der Reaktion oder im anschließenden Post-Incident-Review können empfohlene Verbesserungen identifiziert werden, die die Gesamtsicherheit der Umgebung der </w:t>
      </w:r>
      <w:r w:rsidRPr="00B62DFD">
        <w:rPr>
          <w:highlight w:val="yellow"/>
        </w:rPr>
        <w:t>[E-MAIL-PLATTFORM]</w:t>
      </w:r>
      <w:r w:rsidRPr="00B62DFD">
        <w:t xml:space="preserve"> von </w:t>
      </w:r>
      <w:r w:rsidRPr="00B62DFD">
        <w:rPr>
          <w:highlight w:val="yellow"/>
        </w:rPr>
        <w:t>[UNTERNEHMENSNAME]</w:t>
      </w:r>
      <w:r w:rsidRPr="00B62DFD">
        <w:t xml:space="preserve"> verbessern und/oder das Risiko ähnlicher Vorfälle in der Zukunft reduzieren. Der Cyber Security Lead sollte Machbarkeit, Auswirkungen und Kosten solcher Empfehlungen bewerten und entscheiden, ob diese umgesetzt werden sollten und/oder ob Kosten oder geschäftliche Auswirkungen eine Eskalation an weitere Entscheidungsträger von </w:t>
      </w:r>
      <w:r w:rsidRPr="00B62DFD">
        <w:rPr>
          <w:highlight w:val="yellow"/>
        </w:rPr>
        <w:t>[UNTERNEHMENSNAME]</w:t>
      </w:r>
      <w:r w:rsidRPr="00B62DFD">
        <w:t xml:space="preserve"> erfordern.</w:t>
      </w:r>
    </w:p>
    <w:p w14:paraId="55F45C2A" w14:textId="77777777" w:rsidR="0023326D" w:rsidRPr="00B62DFD" w:rsidRDefault="0023326D">
      <w:pPr>
        <w:spacing w:after="100" w:line="254" w:lineRule="auto"/>
      </w:pPr>
    </w:p>
    <w:p w14:paraId="0B2EAA0B" w14:textId="77777777" w:rsidR="009C0598" w:rsidRPr="00B62DFD" w:rsidRDefault="006800BE">
      <w:pPr>
        <w:spacing w:before="100" w:after="40" w:line="254" w:lineRule="auto"/>
      </w:pPr>
      <w:r w:rsidRPr="00B62DFD">
        <w:rPr>
          <w:b/>
        </w:rPr>
        <w:t>Wiederherstellung</w:t>
      </w:r>
    </w:p>
    <w:p w14:paraId="183E176E" w14:textId="77777777" w:rsidR="009C0598" w:rsidRPr="00B62DFD" w:rsidRDefault="006800BE">
      <w:pPr>
        <w:spacing w:after="100" w:line="254" w:lineRule="auto"/>
      </w:pPr>
      <w:r w:rsidRPr="00B62DFD">
        <w:t>Die Wiederherstellung des Zugriffs auf einzelne Konten kann erfolgen, sobald jede persistente Bedrohung beseitigt wurde.</w:t>
      </w:r>
    </w:p>
    <w:p w14:paraId="5000ACA0" w14:textId="77777777" w:rsidR="0023326D" w:rsidRPr="00B62DFD" w:rsidRDefault="0023326D">
      <w:pPr>
        <w:spacing w:after="100" w:line="254" w:lineRule="auto"/>
      </w:pPr>
    </w:p>
    <w:p w14:paraId="2115899D" w14:textId="77777777" w:rsidR="009C0598" w:rsidRPr="00B62DFD" w:rsidRDefault="006800BE">
      <w:pPr>
        <w:spacing w:before="100" w:after="40" w:line="254" w:lineRule="auto"/>
      </w:pPr>
      <w:r w:rsidRPr="00B62DFD">
        <w:rPr>
          <w:b/>
        </w:rPr>
        <w:t>Nachbereitung des Vorfalls</w:t>
      </w:r>
    </w:p>
    <w:p w14:paraId="524D1DC8" w14:textId="77777777" w:rsidR="009C0598" w:rsidRPr="00B62DFD" w:rsidRDefault="006800BE">
      <w:pPr>
        <w:spacing w:after="100" w:line="254" w:lineRule="auto"/>
      </w:pPr>
      <w:r w:rsidRPr="00B62DFD">
        <w:t>Für Vorfälle, die als P1 bis P3 klassifiziert sind, sollte gemäß Abschnitt 4.7 des Plans zur Reaktion auf Cyber-Sicherheitsvorfälle eine Nachbereitung des Vorfalls durchgeführt werden.</w:t>
      </w:r>
    </w:p>
    <w:p w14:paraId="737C6203" w14:textId="77777777" w:rsidR="009C0598" w:rsidRPr="00B62DFD" w:rsidRDefault="006800BE">
      <w:r w:rsidRPr="00B62DFD">
        <w:br w:type="page"/>
      </w:r>
    </w:p>
    <w:p w14:paraId="05C8FD90" w14:textId="444DFE7C" w:rsidR="009C0598" w:rsidRPr="00B62DFD" w:rsidRDefault="006800BE">
      <w:pPr>
        <w:pStyle w:val="Heading2"/>
        <w:spacing w:before="160" w:after="80"/>
        <w:rPr>
          <w:color w:val="000000" w:themeColor="text1"/>
        </w:rPr>
      </w:pPr>
      <w:bookmarkStart w:id="3" w:name="_Toc236731068"/>
      <w:r w:rsidRPr="00B62DFD">
        <w:rPr>
          <w:rFonts w:ascii="Aptos Display" w:eastAsia="Aptos Display" w:hAnsi="Aptos Display"/>
          <w:color w:val="000000" w:themeColor="text1"/>
        </w:rPr>
        <w:lastRenderedPageBreak/>
        <w:t xml:space="preserve">Anhang A: Ablaufdiagramm zur Reaktion auf </w:t>
      </w:r>
      <w:r w:rsidR="00522643" w:rsidRPr="00B62DFD">
        <w:rPr>
          <w:rFonts w:ascii="Aptos Display" w:eastAsia="Aptos Display" w:hAnsi="Aptos Display"/>
          <w:color w:val="000000" w:themeColor="text1"/>
        </w:rPr>
        <w:t>Email-</w:t>
      </w:r>
      <w:r w:rsidRPr="00B62DFD">
        <w:rPr>
          <w:rFonts w:ascii="Aptos Display" w:eastAsia="Aptos Display" w:hAnsi="Aptos Display"/>
          <w:color w:val="000000" w:themeColor="text1"/>
        </w:rPr>
        <w:t>Postfachkompromittierung</w:t>
      </w:r>
      <w:bookmarkEnd w:id="3"/>
      <w:r w:rsidR="00522643" w:rsidRPr="00B62DFD">
        <w:rPr>
          <w:rFonts w:ascii="Aptos Display" w:eastAsia="Aptos Display" w:hAnsi="Aptos Display"/>
          <w:color w:val="000000" w:themeColor="text1"/>
        </w:rPr>
        <w:t xml:space="preserve"> / BEC</w:t>
      </w:r>
    </w:p>
    <w:p w14:paraId="0AB42328" w14:textId="77777777" w:rsidR="009C0598" w:rsidRPr="00B62DFD" w:rsidRDefault="006800BE">
      <w:pPr>
        <w:spacing w:after="100" w:line="254" w:lineRule="auto"/>
      </w:pPr>
      <w:r w:rsidRPr="00B62DFD">
        <w:t>Das nachstehende Ablaufdiagramm stellt die wesentlichen Entscheidungspunkte und Reaktionsschritte bei einer Postfachkompromittierung dar.</w:t>
      </w:r>
    </w:p>
    <w:p w14:paraId="69B4D6E4" w14:textId="461F2930" w:rsidR="0076732E" w:rsidRPr="00B62DFD" w:rsidRDefault="00126E06" w:rsidP="0076732E">
      <w:r w:rsidRPr="00B62DFD">
        <w:drawing>
          <wp:inline distT="0" distB="0" distL="0" distR="0" wp14:anchorId="347BE27E" wp14:editId="6E2B2DEF">
            <wp:extent cx="4958686" cy="7438029"/>
            <wp:effectExtent l="0" t="0" r="0" b="0"/>
            <wp:docPr id="1464770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70600" name=""/>
                    <pic:cNvPicPr/>
                  </pic:nvPicPr>
                  <pic:blipFill>
                    <a:blip r:embed="rId8"/>
                    <a:stretch>
                      <a:fillRect/>
                    </a:stretch>
                  </pic:blipFill>
                  <pic:spPr>
                    <a:xfrm>
                      <a:off x="0" y="0"/>
                      <a:ext cx="4971525" cy="7457287"/>
                    </a:xfrm>
                    <a:prstGeom prst="rect">
                      <a:avLst/>
                    </a:prstGeom>
                  </pic:spPr>
                </pic:pic>
              </a:graphicData>
            </a:graphic>
          </wp:inline>
        </w:drawing>
      </w:r>
    </w:p>
    <w:p w14:paraId="37FAB560" w14:textId="674052D9" w:rsidR="009C0598" w:rsidRPr="000C14F8" w:rsidRDefault="009C0598">
      <w:pPr>
        <w:spacing w:after="100" w:line="254" w:lineRule="auto"/>
      </w:pPr>
    </w:p>
    <w:sectPr w:rsidR="009C0598" w:rsidRPr="000C14F8"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EBEB2" w14:textId="77777777" w:rsidR="00A443BF" w:rsidRPr="00B62DFD" w:rsidRDefault="00A443BF" w:rsidP="004A4585">
      <w:pPr>
        <w:spacing w:after="0" w:line="240" w:lineRule="auto"/>
      </w:pPr>
      <w:r w:rsidRPr="00B62DFD">
        <w:separator/>
      </w:r>
    </w:p>
  </w:endnote>
  <w:endnote w:type="continuationSeparator" w:id="0">
    <w:p w14:paraId="6FFCCA9B" w14:textId="77777777" w:rsidR="00A443BF" w:rsidRPr="00B62DFD" w:rsidRDefault="00A443BF" w:rsidP="004A4585">
      <w:pPr>
        <w:spacing w:after="0" w:line="240" w:lineRule="auto"/>
      </w:pPr>
      <w:r w:rsidRPr="00B62D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D1F0" w14:textId="63B7C4E4" w:rsidR="004A4585" w:rsidRPr="00B62DFD" w:rsidRDefault="004A4585">
    <w:pPr>
      <w:pStyle w:val="Footer"/>
      <w:rPr>
        <w:i/>
        <w:iCs/>
        <w:sz w:val="12"/>
        <w:szCs w:val="12"/>
      </w:rPr>
    </w:pPr>
    <w:r w:rsidRPr="00B62DFD">
      <w:rPr>
        <w:i/>
        <w:iCs/>
        <w:sz w:val="12"/>
        <w:szCs w:val="12"/>
      </w:rPr>
      <w:t>Die beispielhaften Cyber-Governance-Vorlagen dienen ausschließlich als Orientierungshilfe. Sie wurden nicht auf Basis Ihrer konkreten Systeme und Risiken erstellt und decken daher nicht alle möglichen Szenarien oder erforderlichen Maßnahmen im Zusammenhang mit einem Cybersicherheitsvorfall ab. Die Verantwortung für die Bewertung und Implementierung geeigneter Notfall- und Reaktionsprozesse liegt beim Unternehmen. Die Vorlagen ersetzen weder die Beratung durch Rechtsanwälte noch die Unterstützung durch Cybersicherheitsexperten.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7847B" w14:textId="77777777" w:rsidR="00A443BF" w:rsidRPr="00B62DFD" w:rsidRDefault="00A443BF" w:rsidP="004A4585">
      <w:pPr>
        <w:spacing w:after="0" w:line="240" w:lineRule="auto"/>
      </w:pPr>
      <w:r w:rsidRPr="00B62DFD">
        <w:separator/>
      </w:r>
    </w:p>
  </w:footnote>
  <w:footnote w:type="continuationSeparator" w:id="0">
    <w:p w14:paraId="55AB054A" w14:textId="77777777" w:rsidR="00A443BF" w:rsidRPr="00B62DFD" w:rsidRDefault="00A443BF" w:rsidP="004A4585">
      <w:pPr>
        <w:spacing w:after="0" w:line="240" w:lineRule="auto"/>
      </w:pPr>
      <w:r w:rsidRPr="00B62DF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4EA6768"/>
    <w:multiLevelType w:val="hybridMultilevel"/>
    <w:tmpl w:val="B6648AB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2102197">
    <w:abstractNumId w:val="8"/>
  </w:num>
  <w:num w:numId="2" w16cid:durableId="1016007289">
    <w:abstractNumId w:val="6"/>
  </w:num>
  <w:num w:numId="3" w16cid:durableId="200552674">
    <w:abstractNumId w:val="5"/>
  </w:num>
  <w:num w:numId="4" w16cid:durableId="1223564608">
    <w:abstractNumId w:val="4"/>
  </w:num>
  <w:num w:numId="5" w16cid:durableId="1930454">
    <w:abstractNumId w:val="7"/>
  </w:num>
  <w:num w:numId="6" w16cid:durableId="2121948292">
    <w:abstractNumId w:val="3"/>
  </w:num>
  <w:num w:numId="7" w16cid:durableId="271861243">
    <w:abstractNumId w:val="2"/>
  </w:num>
  <w:num w:numId="8" w16cid:durableId="1321496201">
    <w:abstractNumId w:val="1"/>
  </w:num>
  <w:num w:numId="9" w16cid:durableId="731776791">
    <w:abstractNumId w:val="0"/>
  </w:num>
  <w:num w:numId="10" w16cid:durableId="2872019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4B4"/>
    <w:rsid w:val="00034616"/>
    <w:rsid w:val="0006063C"/>
    <w:rsid w:val="000C14F8"/>
    <w:rsid w:val="00126E06"/>
    <w:rsid w:val="0015074B"/>
    <w:rsid w:val="0023326D"/>
    <w:rsid w:val="0029639D"/>
    <w:rsid w:val="00326F90"/>
    <w:rsid w:val="00480729"/>
    <w:rsid w:val="004A4585"/>
    <w:rsid w:val="004C0C92"/>
    <w:rsid w:val="00522643"/>
    <w:rsid w:val="005A7373"/>
    <w:rsid w:val="006800BE"/>
    <w:rsid w:val="0076732E"/>
    <w:rsid w:val="009C0598"/>
    <w:rsid w:val="00A443BF"/>
    <w:rsid w:val="00AA1D8D"/>
    <w:rsid w:val="00B47730"/>
    <w:rsid w:val="00B62DFD"/>
    <w:rsid w:val="00C814D4"/>
    <w:rsid w:val="00CB0664"/>
    <w:rsid w:val="00E146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12C60FE-485F-4504-AE41-2C07016B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lang w:val="de-D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3">
    <w:name w:val="toc 3"/>
    <w:basedOn w:val="Normal"/>
    <w:next w:val="Normal"/>
    <w:autoRedefine/>
    <w:uiPriority w:val="39"/>
    <w:unhideWhenUsed/>
    <w:rsid w:val="000C14F8"/>
    <w:pPr>
      <w:spacing w:after="100"/>
      <w:ind w:left="420"/>
    </w:pPr>
  </w:style>
  <w:style w:type="paragraph" w:styleId="TOC2">
    <w:name w:val="toc 2"/>
    <w:basedOn w:val="Normal"/>
    <w:next w:val="Normal"/>
    <w:autoRedefine/>
    <w:uiPriority w:val="39"/>
    <w:unhideWhenUsed/>
    <w:rsid w:val="000C14F8"/>
    <w:pPr>
      <w:spacing w:after="100"/>
      <w:ind w:left="210"/>
    </w:pPr>
  </w:style>
  <w:style w:type="character" w:styleId="Hyperlink">
    <w:name w:val="Hyperlink"/>
    <w:basedOn w:val="DefaultParagraphFont"/>
    <w:uiPriority w:val="99"/>
    <w:unhideWhenUsed/>
    <w:rsid w:val="000C14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8068</Characters>
  <Application>Microsoft Office Word</Application>
  <DocSecurity>0</DocSecurity>
  <Lines>183</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Playbook zur Reaktion auf Postfachkompromittierung</dc:title>
  <dc:subject>Cyber Governance Vorlage</dc:subject>
  <dc:creator>Insaf Idelhaj</dc:creator>
  <cp:keywords/>
  <dc:description>generated by python-docx</dc:description>
  <cp:lastModifiedBy>Jan Rott</cp:lastModifiedBy>
  <cp:revision>10</cp:revision>
  <dcterms:created xsi:type="dcterms:W3CDTF">2026-09-01T14:20:00Z</dcterms:created>
  <dcterms:modified xsi:type="dcterms:W3CDTF">2026-09-01T15:09:00Z</dcterms:modified>
  <cp:category/>
  <dc:language>de-DE</dc:language>
</cp:coreProperties>
</file>