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21389" w14:textId="1A89C19C" w:rsidR="00294066" w:rsidRPr="0071635A" w:rsidRDefault="00294066"/>
    <w:p w14:paraId="3E843F2B" w14:textId="77777777" w:rsidR="00294066" w:rsidRPr="0071635A" w:rsidRDefault="00375155" w:rsidP="00EB1812">
      <w:pPr>
        <w:spacing w:after="120" w:line="259" w:lineRule="auto"/>
        <w:jc w:val="center"/>
      </w:pPr>
      <w:r w:rsidRPr="0071635A">
        <w:rPr>
          <w:b/>
          <w:sz w:val="24"/>
          <w:highlight w:val="yellow"/>
        </w:rPr>
        <w:t>[UNTERNEHMENSNAME]</w:t>
      </w:r>
    </w:p>
    <w:p w14:paraId="72782AA3" w14:textId="77777777" w:rsidR="00294066" w:rsidRPr="0071635A" w:rsidRDefault="00375155" w:rsidP="00EB1812">
      <w:pPr>
        <w:spacing w:after="120" w:line="259" w:lineRule="auto"/>
        <w:jc w:val="center"/>
      </w:pPr>
      <w:r w:rsidRPr="0071635A">
        <w:rPr>
          <w:b/>
          <w:sz w:val="28"/>
        </w:rPr>
        <w:t>Richtlinie zum IT-Asset-Management</w:t>
      </w:r>
    </w:p>
    <w:p w14:paraId="07089D23" w14:textId="64BEE419" w:rsidR="00294066" w:rsidRPr="0071635A" w:rsidRDefault="00375155" w:rsidP="00EB1812">
      <w:pPr>
        <w:spacing w:after="120" w:line="259" w:lineRule="auto"/>
        <w:jc w:val="center"/>
      </w:pPr>
      <w:r w:rsidRPr="0071635A">
        <w:rPr>
          <w:b/>
          <w:color w:val="3D403D"/>
        </w:rPr>
        <w:t>Geschäftlich</w:t>
      </w:r>
      <w:r w:rsidR="006C47DD" w:rsidRPr="0071635A">
        <w:rPr>
          <w:b/>
          <w:color w:val="3D403D"/>
        </w:rPr>
        <w:t>/V</w:t>
      </w:r>
      <w:r w:rsidRPr="0071635A">
        <w:rPr>
          <w:b/>
          <w:color w:val="3D403D"/>
        </w:rPr>
        <w:t>ertraulich</w:t>
      </w:r>
      <w:r w:rsidR="006C47DD" w:rsidRPr="0071635A">
        <w:rPr>
          <w:b/>
          <w:color w:val="3D403D"/>
        </w:rPr>
        <w:t xml:space="preserve"> - </w:t>
      </w:r>
      <w:r w:rsidRPr="0071635A">
        <w:rPr>
          <w:b/>
          <w:color w:val="3D403D"/>
        </w:rPr>
        <w:t>Nicht zur Weitergabe bestimmt</w:t>
      </w:r>
    </w:p>
    <w:p w14:paraId="70810D2C" w14:textId="77777777" w:rsidR="00294066" w:rsidRPr="0071635A" w:rsidRDefault="00375155">
      <w:pPr>
        <w:spacing w:after="120" w:line="259" w:lineRule="auto"/>
      </w:pPr>
      <w:r w:rsidRPr="0071635A">
        <w:rPr>
          <w:b/>
          <w:color w:val="3D403D"/>
        </w:rPr>
        <w:t>VERSIONSHISTORIE</w:t>
      </w:r>
    </w:p>
    <w:tbl>
      <w:tblPr>
        <w:tblStyle w:val="TableGrid"/>
        <w:tblW w:w="0" w:type="auto"/>
        <w:jc w:val="center"/>
        <w:tblLook w:val="04A0" w:firstRow="1" w:lastRow="0" w:firstColumn="1" w:lastColumn="0" w:noHBand="0" w:noVBand="1"/>
      </w:tblPr>
      <w:tblGrid>
        <w:gridCol w:w="1499"/>
        <w:gridCol w:w="1658"/>
        <w:gridCol w:w="2130"/>
        <w:gridCol w:w="4783"/>
      </w:tblGrid>
      <w:tr w:rsidR="00294066" w:rsidRPr="0071635A" w14:paraId="5001D752" w14:textId="77777777" w:rsidTr="00EB1812">
        <w:trPr>
          <w:jc w:val="center"/>
        </w:trPr>
        <w:tc>
          <w:tcPr>
            <w:tcW w:w="1584" w:type="dxa"/>
            <w:shd w:val="clear" w:color="auto" w:fill="000000" w:themeFill="text1"/>
            <w:tcMar>
              <w:top w:w="90" w:type="dxa"/>
              <w:left w:w="90" w:type="dxa"/>
              <w:bottom w:w="90" w:type="dxa"/>
              <w:right w:w="90" w:type="dxa"/>
            </w:tcMar>
            <w:vAlign w:val="center"/>
          </w:tcPr>
          <w:p w14:paraId="21E33970" w14:textId="77777777" w:rsidR="00294066" w:rsidRPr="0071635A" w:rsidRDefault="00375155">
            <w:pPr>
              <w:spacing w:after="40"/>
              <w:rPr>
                <w:color w:val="FFFFFF" w:themeColor="background1"/>
              </w:rPr>
            </w:pPr>
            <w:r w:rsidRPr="0071635A">
              <w:rPr>
                <w:b/>
                <w:color w:val="FFFFFF" w:themeColor="background1"/>
                <w:sz w:val="20"/>
              </w:rPr>
              <w:t>VERSION</w:t>
            </w:r>
          </w:p>
        </w:tc>
        <w:tc>
          <w:tcPr>
            <w:tcW w:w="1800" w:type="dxa"/>
            <w:shd w:val="clear" w:color="auto" w:fill="000000" w:themeFill="text1"/>
            <w:tcMar>
              <w:top w:w="90" w:type="dxa"/>
              <w:left w:w="90" w:type="dxa"/>
              <w:bottom w:w="90" w:type="dxa"/>
              <w:right w:w="90" w:type="dxa"/>
            </w:tcMar>
            <w:vAlign w:val="center"/>
          </w:tcPr>
          <w:p w14:paraId="251F3942" w14:textId="77777777" w:rsidR="00294066" w:rsidRPr="0071635A" w:rsidRDefault="00375155">
            <w:pPr>
              <w:spacing w:after="40"/>
              <w:rPr>
                <w:color w:val="FFFFFF" w:themeColor="background1"/>
              </w:rPr>
            </w:pPr>
            <w:r w:rsidRPr="0071635A">
              <w:rPr>
                <w:b/>
                <w:color w:val="FFFFFF" w:themeColor="background1"/>
                <w:sz w:val="20"/>
              </w:rPr>
              <w:t>DATUM</w:t>
            </w:r>
          </w:p>
        </w:tc>
        <w:tc>
          <w:tcPr>
            <w:tcW w:w="2376" w:type="dxa"/>
            <w:shd w:val="clear" w:color="auto" w:fill="000000" w:themeFill="text1"/>
            <w:tcMar>
              <w:top w:w="90" w:type="dxa"/>
              <w:left w:w="90" w:type="dxa"/>
              <w:bottom w:w="90" w:type="dxa"/>
              <w:right w:w="90" w:type="dxa"/>
            </w:tcMar>
            <w:vAlign w:val="center"/>
          </w:tcPr>
          <w:p w14:paraId="39E45BF7" w14:textId="77777777" w:rsidR="00294066" w:rsidRPr="0071635A" w:rsidRDefault="00375155">
            <w:pPr>
              <w:spacing w:after="40"/>
              <w:rPr>
                <w:color w:val="FFFFFF" w:themeColor="background1"/>
              </w:rPr>
            </w:pPr>
            <w:r w:rsidRPr="0071635A">
              <w:rPr>
                <w:b/>
                <w:color w:val="FFFFFF" w:themeColor="background1"/>
                <w:sz w:val="20"/>
              </w:rPr>
              <w:t>NAME</w:t>
            </w:r>
          </w:p>
        </w:tc>
        <w:tc>
          <w:tcPr>
            <w:tcW w:w="5328" w:type="dxa"/>
            <w:shd w:val="clear" w:color="auto" w:fill="000000" w:themeFill="text1"/>
            <w:tcMar>
              <w:top w:w="90" w:type="dxa"/>
              <w:left w:w="90" w:type="dxa"/>
              <w:bottom w:w="90" w:type="dxa"/>
              <w:right w:w="90" w:type="dxa"/>
            </w:tcMar>
            <w:vAlign w:val="center"/>
          </w:tcPr>
          <w:p w14:paraId="08A8D50C" w14:textId="77777777" w:rsidR="00294066" w:rsidRPr="0071635A" w:rsidRDefault="00375155">
            <w:pPr>
              <w:spacing w:after="40"/>
              <w:rPr>
                <w:color w:val="FFFFFF" w:themeColor="background1"/>
              </w:rPr>
            </w:pPr>
            <w:r w:rsidRPr="0071635A">
              <w:rPr>
                <w:b/>
                <w:color w:val="FFFFFF" w:themeColor="background1"/>
                <w:sz w:val="20"/>
              </w:rPr>
              <w:t>BESCHREIBUNG</w:t>
            </w:r>
          </w:p>
        </w:tc>
      </w:tr>
      <w:tr w:rsidR="00294066" w:rsidRPr="0071635A" w14:paraId="697BE5C8" w14:textId="77777777">
        <w:trPr>
          <w:jc w:val="center"/>
        </w:trPr>
        <w:tc>
          <w:tcPr>
            <w:tcW w:w="1584" w:type="dxa"/>
            <w:tcMar>
              <w:top w:w="90" w:type="dxa"/>
              <w:left w:w="90" w:type="dxa"/>
              <w:bottom w:w="90" w:type="dxa"/>
              <w:right w:w="90" w:type="dxa"/>
            </w:tcMar>
            <w:vAlign w:val="center"/>
          </w:tcPr>
          <w:p w14:paraId="71AE33D6" w14:textId="77777777" w:rsidR="00294066" w:rsidRPr="0071635A" w:rsidRDefault="00294066">
            <w:pPr>
              <w:spacing w:after="40"/>
            </w:pPr>
          </w:p>
        </w:tc>
        <w:tc>
          <w:tcPr>
            <w:tcW w:w="1800" w:type="dxa"/>
            <w:tcMar>
              <w:top w:w="90" w:type="dxa"/>
              <w:left w:w="90" w:type="dxa"/>
              <w:bottom w:w="90" w:type="dxa"/>
              <w:right w:w="90" w:type="dxa"/>
            </w:tcMar>
            <w:vAlign w:val="center"/>
          </w:tcPr>
          <w:p w14:paraId="43078AC8" w14:textId="77777777" w:rsidR="00294066" w:rsidRPr="0071635A" w:rsidRDefault="00294066">
            <w:pPr>
              <w:spacing w:after="40"/>
            </w:pPr>
          </w:p>
        </w:tc>
        <w:tc>
          <w:tcPr>
            <w:tcW w:w="2376" w:type="dxa"/>
            <w:tcMar>
              <w:top w:w="90" w:type="dxa"/>
              <w:left w:w="90" w:type="dxa"/>
              <w:bottom w:w="90" w:type="dxa"/>
              <w:right w:w="90" w:type="dxa"/>
            </w:tcMar>
            <w:vAlign w:val="center"/>
          </w:tcPr>
          <w:p w14:paraId="1364062E" w14:textId="77777777" w:rsidR="00294066" w:rsidRPr="0071635A" w:rsidRDefault="00294066">
            <w:pPr>
              <w:spacing w:after="40"/>
            </w:pPr>
          </w:p>
        </w:tc>
        <w:tc>
          <w:tcPr>
            <w:tcW w:w="5328" w:type="dxa"/>
            <w:tcMar>
              <w:top w:w="90" w:type="dxa"/>
              <w:left w:w="90" w:type="dxa"/>
              <w:bottom w:w="90" w:type="dxa"/>
              <w:right w:w="90" w:type="dxa"/>
            </w:tcMar>
            <w:vAlign w:val="center"/>
          </w:tcPr>
          <w:p w14:paraId="7F4DDF49" w14:textId="77777777" w:rsidR="00294066" w:rsidRPr="0071635A" w:rsidRDefault="00294066">
            <w:pPr>
              <w:spacing w:after="40"/>
            </w:pPr>
          </w:p>
        </w:tc>
      </w:tr>
      <w:tr w:rsidR="00294066" w:rsidRPr="0071635A" w14:paraId="192D8DEB" w14:textId="77777777">
        <w:trPr>
          <w:jc w:val="center"/>
        </w:trPr>
        <w:tc>
          <w:tcPr>
            <w:tcW w:w="1584" w:type="dxa"/>
            <w:tcMar>
              <w:top w:w="90" w:type="dxa"/>
              <w:left w:w="90" w:type="dxa"/>
              <w:bottom w:w="90" w:type="dxa"/>
              <w:right w:w="90" w:type="dxa"/>
            </w:tcMar>
            <w:vAlign w:val="center"/>
          </w:tcPr>
          <w:p w14:paraId="512B2A02" w14:textId="77777777" w:rsidR="00294066" w:rsidRPr="0071635A" w:rsidRDefault="00294066">
            <w:pPr>
              <w:spacing w:after="40"/>
            </w:pPr>
          </w:p>
        </w:tc>
        <w:tc>
          <w:tcPr>
            <w:tcW w:w="1800" w:type="dxa"/>
            <w:tcMar>
              <w:top w:w="90" w:type="dxa"/>
              <w:left w:w="90" w:type="dxa"/>
              <w:bottom w:w="90" w:type="dxa"/>
              <w:right w:w="90" w:type="dxa"/>
            </w:tcMar>
            <w:vAlign w:val="center"/>
          </w:tcPr>
          <w:p w14:paraId="7FF76E55" w14:textId="77777777" w:rsidR="00294066" w:rsidRPr="0071635A" w:rsidRDefault="00294066">
            <w:pPr>
              <w:spacing w:after="40"/>
            </w:pPr>
          </w:p>
        </w:tc>
        <w:tc>
          <w:tcPr>
            <w:tcW w:w="2376" w:type="dxa"/>
            <w:tcMar>
              <w:top w:w="90" w:type="dxa"/>
              <w:left w:w="90" w:type="dxa"/>
              <w:bottom w:w="90" w:type="dxa"/>
              <w:right w:w="90" w:type="dxa"/>
            </w:tcMar>
            <w:vAlign w:val="center"/>
          </w:tcPr>
          <w:p w14:paraId="5250AA64" w14:textId="77777777" w:rsidR="00294066" w:rsidRPr="0071635A" w:rsidRDefault="00294066">
            <w:pPr>
              <w:spacing w:after="40"/>
            </w:pPr>
          </w:p>
        </w:tc>
        <w:tc>
          <w:tcPr>
            <w:tcW w:w="5328" w:type="dxa"/>
            <w:tcMar>
              <w:top w:w="90" w:type="dxa"/>
              <w:left w:w="90" w:type="dxa"/>
              <w:bottom w:w="90" w:type="dxa"/>
              <w:right w:w="90" w:type="dxa"/>
            </w:tcMar>
            <w:vAlign w:val="center"/>
          </w:tcPr>
          <w:p w14:paraId="7BA58D60" w14:textId="77777777" w:rsidR="00294066" w:rsidRPr="0071635A" w:rsidRDefault="00294066">
            <w:pPr>
              <w:spacing w:after="40"/>
            </w:pPr>
          </w:p>
        </w:tc>
      </w:tr>
      <w:tr w:rsidR="00294066" w:rsidRPr="0071635A" w14:paraId="6E8E6CF0" w14:textId="77777777">
        <w:trPr>
          <w:jc w:val="center"/>
        </w:trPr>
        <w:tc>
          <w:tcPr>
            <w:tcW w:w="1584" w:type="dxa"/>
            <w:tcMar>
              <w:top w:w="90" w:type="dxa"/>
              <w:left w:w="90" w:type="dxa"/>
              <w:bottom w:w="90" w:type="dxa"/>
              <w:right w:w="90" w:type="dxa"/>
            </w:tcMar>
            <w:vAlign w:val="center"/>
          </w:tcPr>
          <w:p w14:paraId="03AA3589" w14:textId="77777777" w:rsidR="00294066" w:rsidRPr="0071635A" w:rsidRDefault="00294066">
            <w:pPr>
              <w:spacing w:after="40"/>
            </w:pPr>
          </w:p>
        </w:tc>
        <w:tc>
          <w:tcPr>
            <w:tcW w:w="1800" w:type="dxa"/>
            <w:tcMar>
              <w:top w:w="90" w:type="dxa"/>
              <w:left w:w="90" w:type="dxa"/>
              <w:bottom w:w="90" w:type="dxa"/>
              <w:right w:w="90" w:type="dxa"/>
            </w:tcMar>
            <w:vAlign w:val="center"/>
          </w:tcPr>
          <w:p w14:paraId="33D46EFC" w14:textId="77777777" w:rsidR="00294066" w:rsidRPr="0071635A" w:rsidRDefault="00294066">
            <w:pPr>
              <w:spacing w:after="40"/>
            </w:pPr>
          </w:p>
        </w:tc>
        <w:tc>
          <w:tcPr>
            <w:tcW w:w="2376" w:type="dxa"/>
            <w:tcMar>
              <w:top w:w="90" w:type="dxa"/>
              <w:left w:w="90" w:type="dxa"/>
              <w:bottom w:w="90" w:type="dxa"/>
              <w:right w:w="90" w:type="dxa"/>
            </w:tcMar>
            <w:vAlign w:val="center"/>
          </w:tcPr>
          <w:p w14:paraId="77B28572" w14:textId="77777777" w:rsidR="00294066" w:rsidRPr="0071635A" w:rsidRDefault="00294066">
            <w:pPr>
              <w:spacing w:after="40"/>
            </w:pPr>
          </w:p>
        </w:tc>
        <w:tc>
          <w:tcPr>
            <w:tcW w:w="5328" w:type="dxa"/>
            <w:tcMar>
              <w:top w:w="90" w:type="dxa"/>
              <w:left w:w="90" w:type="dxa"/>
              <w:bottom w:w="90" w:type="dxa"/>
              <w:right w:w="90" w:type="dxa"/>
            </w:tcMar>
            <w:vAlign w:val="center"/>
          </w:tcPr>
          <w:p w14:paraId="16B666B2" w14:textId="77777777" w:rsidR="00294066" w:rsidRPr="0071635A" w:rsidRDefault="00294066">
            <w:pPr>
              <w:spacing w:after="40"/>
            </w:pPr>
          </w:p>
        </w:tc>
      </w:tr>
      <w:tr w:rsidR="00294066" w:rsidRPr="0071635A" w14:paraId="50C6CE3C" w14:textId="77777777">
        <w:trPr>
          <w:jc w:val="center"/>
        </w:trPr>
        <w:tc>
          <w:tcPr>
            <w:tcW w:w="1584" w:type="dxa"/>
            <w:tcMar>
              <w:top w:w="90" w:type="dxa"/>
              <w:left w:w="90" w:type="dxa"/>
              <w:bottom w:w="90" w:type="dxa"/>
              <w:right w:w="90" w:type="dxa"/>
            </w:tcMar>
            <w:vAlign w:val="center"/>
          </w:tcPr>
          <w:p w14:paraId="68F62ED1" w14:textId="77777777" w:rsidR="00294066" w:rsidRPr="0071635A" w:rsidRDefault="00294066">
            <w:pPr>
              <w:spacing w:after="40"/>
            </w:pPr>
          </w:p>
        </w:tc>
        <w:tc>
          <w:tcPr>
            <w:tcW w:w="1800" w:type="dxa"/>
            <w:tcMar>
              <w:top w:w="90" w:type="dxa"/>
              <w:left w:w="90" w:type="dxa"/>
              <w:bottom w:w="90" w:type="dxa"/>
              <w:right w:w="90" w:type="dxa"/>
            </w:tcMar>
            <w:vAlign w:val="center"/>
          </w:tcPr>
          <w:p w14:paraId="476EFD0A" w14:textId="77777777" w:rsidR="00294066" w:rsidRPr="0071635A" w:rsidRDefault="00294066">
            <w:pPr>
              <w:spacing w:after="40"/>
            </w:pPr>
          </w:p>
        </w:tc>
        <w:tc>
          <w:tcPr>
            <w:tcW w:w="2376" w:type="dxa"/>
            <w:tcMar>
              <w:top w:w="90" w:type="dxa"/>
              <w:left w:w="90" w:type="dxa"/>
              <w:bottom w:w="90" w:type="dxa"/>
              <w:right w:w="90" w:type="dxa"/>
            </w:tcMar>
            <w:vAlign w:val="center"/>
          </w:tcPr>
          <w:p w14:paraId="07EE3ECE" w14:textId="77777777" w:rsidR="00294066" w:rsidRPr="0071635A" w:rsidRDefault="00294066">
            <w:pPr>
              <w:spacing w:after="40"/>
            </w:pPr>
          </w:p>
        </w:tc>
        <w:tc>
          <w:tcPr>
            <w:tcW w:w="5328" w:type="dxa"/>
            <w:tcMar>
              <w:top w:w="90" w:type="dxa"/>
              <w:left w:w="90" w:type="dxa"/>
              <w:bottom w:w="90" w:type="dxa"/>
              <w:right w:w="90" w:type="dxa"/>
            </w:tcMar>
            <w:vAlign w:val="center"/>
          </w:tcPr>
          <w:p w14:paraId="59EC13F7" w14:textId="77777777" w:rsidR="00294066" w:rsidRPr="0071635A" w:rsidRDefault="00294066">
            <w:pPr>
              <w:spacing w:after="40"/>
            </w:pPr>
          </w:p>
        </w:tc>
      </w:tr>
      <w:tr w:rsidR="00294066" w:rsidRPr="0071635A" w14:paraId="230BB2E2" w14:textId="77777777">
        <w:trPr>
          <w:jc w:val="center"/>
        </w:trPr>
        <w:tc>
          <w:tcPr>
            <w:tcW w:w="1584" w:type="dxa"/>
            <w:tcMar>
              <w:top w:w="90" w:type="dxa"/>
              <w:left w:w="90" w:type="dxa"/>
              <w:bottom w:w="90" w:type="dxa"/>
              <w:right w:w="90" w:type="dxa"/>
            </w:tcMar>
            <w:vAlign w:val="center"/>
          </w:tcPr>
          <w:p w14:paraId="75E2B606" w14:textId="77777777" w:rsidR="00294066" w:rsidRPr="0071635A" w:rsidRDefault="00294066">
            <w:pPr>
              <w:spacing w:after="40"/>
            </w:pPr>
          </w:p>
        </w:tc>
        <w:tc>
          <w:tcPr>
            <w:tcW w:w="1800" w:type="dxa"/>
            <w:tcMar>
              <w:top w:w="90" w:type="dxa"/>
              <w:left w:w="90" w:type="dxa"/>
              <w:bottom w:w="90" w:type="dxa"/>
              <w:right w:w="90" w:type="dxa"/>
            </w:tcMar>
            <w:vAlign w:val="center"/>
          </w:tcPr>
          <w:p w14:paraId="156E0968" w14:textId="77777777" w:rsidR="00294066" w:rsidRPr="0071635A" w:rsidRDefault="00294066">
            <w:pPr>
              <w:spacing w:after="40"/>
            </w:pPr>
          </w:p>
        </w:tc>
        <w:tc>
          <w:tcPr>
            <w:tcW w:w="2376" w:type="dxa"/>
            <w:tcMar>
              <w:top w:w="90" w:type="dxa"/>
              <w:left w:w="90" w:type="dxa"/>
              <w:bottom w:w="90" w:type="dxa"/>
              <w:right w:w="90" w:type="dxa"/>
            </w:tcMar>
            <w:vAlign w:val="center"/>
          </w:tcPr>
          <w:p w14:paraId="396B8CC2" w14:textId="77777777" w:rsidR="00294066" w:rsidRPr="0071635A" w:rsidRDefault="00294066">
            <w:pPr>
              <w:spacing w:after="40"/>
            </w:pPr>
          </w:p>
        </w:tc>
        <w:tc>
          <w:tcPr>
            <w:tcW w:w="5328" w:type="dxa"/>
            <w:tcMar>
              <w:top w:w="90" w:type="dxa"/>
              <w:left w:w="90" w:type="dxa"/>
              <w:bottom w:w="90" w:type="dxa"/>
              <w:right w:w="90" w:type="dxa"/>
            </w:tcMar>
            <w:vAlign w:val="center"/>
          </w:tcPr>
          <w:p w14:paraId="6E03CE3C" w14:textId="77777777" w:rsidR="00294066" w:rsidRPr="0071635A" w:rsidRDefault="00294066">
            <w:pPr>
              <w:spacing w:after="40"/>
            </w:pPr>
          </w:p>
        </w:tc>
      </w:tr>
      <w:tr w:rsidR="00294066" w:rsidRPr="0071635A" w14:paraId="1D108BBB" w14:textId="77777777">
        <w:trPr>
          <w:jc w:val="center"/>
        </w:trPr>
        <w:tc>
          <w:tcPr>
            <w:tcW w:w="1584" w:type="dxa"/>
            <w:tcMar>
              <w:top w:w="90" w:type="dxa"/>
              <w:left w:w="90" w:type="dxa"/>
              <w:bottom w:w="90" w:type="dxa"/>
              <w:right w:w="90" w:type="dxa"/>
            </w:tcMar>
            <w:vAlign w:val="center"/>
          </w:tcPr>
          <w:p w14:paraId="12DA4EE9" w14:textId="77777777" w:rsidR="00294066" w:rsidRPr="0071635A" w:rsidRDefault="00294066">
            <w:pPr>
              <w:spacing w:after="40"/>
            </w:pPr>
          </w:p>
        </w:tc>
        <w:tc>
          <w:tcPr>
            <w:tcW w:w="1800" w:type="dxa"/>
            <w:tcMar>
              <w:top w:w="90" w:type="dxa"/>
              <w:left w:w="90" w:type="dxa"/>
              <w:bottom w:w="90" w:type="dxa"/>
              <w:right w:w="90" w:type="dxa"/>
            </w:tcMar>
            <w:vAlign w:val="center"/>
          </w:tcPr>
          <w:p w14:paraId="5C120D12" w14:textId="77777777" w:rsidR="00294066" w:rsidRPr="0071635A" w:rsidRDefault="00294066">
            <w:pPr>
              <w:spacing w:after="40"/>
            </w:pPr>
          </w:p>
        </w:tc>
        <w:tc>
          <w:tcPr>
            <w:tcW w:w="2376" w:type="dxa"/>
            <w:tcMar>
              <w:top w:w="90" w:type="dxa"/>
              <w:left w:w="90" w:type="dxa"/>
              <w:bottom w:w="90" w:type="dxa"/>
              <w:right w:w="90" w:type="dxa"/>
            </w:tcMar>
            <w:vAlign w:val="center"/>
          </w:tcPr>
          <w:p w14:paraId="3B8C4FDE" w14:textId="77777777" w:rsidR="00294066" w:rsidRPr="0071635A" w:rsidRDefault="00294066">
            <w:pPr>
              <w:spacing w:after="40"/>
            </w:pPr>
          </w:p>
        </w:tc>
        <w:tc>
          <w:tcPr>
            <w:tcW w:w="5328" w:type="dxa"/>
            <w:tcMar>
              <w:top w:w="90" w:type="dxa"/>
              <w:left w:w="90" w:type="dxa"/>
              <w:bottom w:w="90" w:type="dxa"/>
              <w:right w:w="90" w:type="dxa"/>
            </w:tcMar>
            <w:vAlign w:val="center"/>
          </w:tcPr>
          <w:p w14:paraId="10E0D9CF" w14:textId="77777777" w:rsidR="00294066" w:rsidRPr="0071635A" w:rsidRDefault="00294066">
            <w:pPr>
              <w:spacing w:after="40"/>
            </w:pPr>
          </w:p>
        </w:tc>
      </w:tr>
      <w:tr w:rsidR="00294066" w:rsidRPr="0071635A" w14:paraId="4BED5E99" w14:textId="77777777">
        <w:trPr>
          <w:jc w:val="center"/>
        </w:trPr>
        <w:tc>
          <w:tcPr>
            <w:tcW w:w="1584" w:type="dxa"/>
            <w:tcMar>
              <w:top w:w="90" w:type="dxa"/>
              <w:left w:w="90" w:type="dxa"/>
              <w:bottom w:w="90" w:type="dxa"/>
              <w:right w:w="90" w:type="dxa"/>
            </w:tcMar>
            <w:vAlign w:val="center"/>
          </w:tcPr>
          <w:p w14:paraId="1ECD3AE2" w14:textId="77777777" w:rsidR="00294066" w:rsidRPr="0071635A" w:rsidRDefault="00294066">
            <w:pPr>
              <w:spacing w:after="40"/>
            </w:pPr>
          </w:p>
        </w:tc>
        <w:tc>
          <w:tcPr>
            <w:tcW w:w="1800" w:type="dxa"/>
            <w:tcMar>
              <w:top w:w="90" w:type="dxa"/>
              <w:left w:w="90" w:type="dxa"/>
              <w:bottom w:w="90" w:type="dxa"/>
              <w:right w:w="90" w:type="dxa"/>
            </w:tcMar>
            <w:vAlign w:val="center"/>
          </w:tcPr>
          <w:p w14:paraId="4258C18C" w14:textId="77777777" w:rsidR="00294066" w:rsidRPr="0071635A" w:rsidRDefault="00294066">
            <w:pPr>
              <w:spacing w:after="40"/>
            </w:pPr>
          </w:p>
        </w:tc>
        <w:tc>
          <w:tcPr>
            <w:tcW w:w="2376" w:type="dxa"/>
            <w:tcMar>
              <w:top w:w="90" w:type="dxa"/>
              <w:left w:w="90" w:type="dxa"/>
              <w:bottom w:w="90" w:type="dxa"/>
              <w:right w:w="90" w:type="dxa"/>
            </w:tcMar>
            <w:vAlign w:val="center"/>
          </w:tcPr>
          <w:p w14:paraId="620602B5" w14:textId="77777777" w:rsidR="00294066" w:rsidRPr="0071635A" w:rsidRDefault="00294066">
            <w:pPr>
              <w:spacing w:after="40"/>
            </w:pPr>
          </w:p>
        </w:tc>
        <w:tc>
          <w:tcPr>
            <w:tcW w:w="5328" w:type="dxa"/>
            <w:tcMar>
              <w:top w:w="90" w:type="dxa"/>
              <w:left w:w="90" w:type="dxa"/>
              <w:bottom w:w="90" w:type="dxa"/>
              <w:right w:w="90" w:type="dxa"/>
            </w:tcMar>
            <w:vAlign w:val="center"/>
          </w:tcPr>
          <w:p w14:paraId="1BA2B458" w14:textId="77777777" w:rsidR="00294066" w:rsidRPr="0071635A" w:rsidRDefault="00294066">
            <w:pPr>
              <w:spacing w:after="40"/>
            </w:pPr>
          </w:p>
        </w:tc>
      </w:tr>
    </w:tbl>
    <w:p w14:paraId="6C52EA1F" w14:textId="77777777" w:rsidR="00294066" w:rsidRPr="0071635A" w:rsidRDefault="00294066">
      <w:pPr>
        <w:spacing w:after="120" w:line="259" w:lineRule="auto"/>
      </w:pPr>
    </w:p>
    <w:p w14:paraId="43EC9F99" w14:textId="77777777" w:rsidR="00294066" w:rsidRPr="0071635A" w:rsidRDefault="00375155">
      <w:pPr>
        <w:spacing w:after="120" w:line="259" w:lineRule="auto"/>
      </w:pPr>
      <w:r w:rsidRPr="0071635A">
        <w:rPr>
          <w:b/>
        </w:rPr>
        <w:t xml:space="preserve">Richtlinienverantwortliche/r: </w:t>
      </w:r>
    </w:p>
    <w:p w14:paraId="67B37FA1" w14:textId="77777777" w:rsidR="00294066" w:rsidRPr="0071635A" w:rsidRDefault="00375155">
      <w:pPr>
        <w:spacing w:after="120" w:line="259" w:lineRule="auto"/>
      </w:pPr>
      <w:r w:rsidRPr="0071635A">
        <w:rPr>
          <w:b/>
        </w:rPr>
        <w:t xml:space="preserve">Nächste Überprüfung: </w:t>
      </w:r>
    </w:p>
    <w:p w14:paraId="6C343587" w14:textId="77777777" w:rsidR="00294066" w:rsidRPr="0071635A" w:rsidRDefault="00375155">
      <w:r w:rsidRPr="0071635A">
        <w:br w:type="page"/>
      </w:r>
    </w:p>
    <w:sdt>
      <w:sdtPr>
        <w:rPr>
          <w:rFonts w:ascii="Aptos" w:eastAsia="Aptos" w:hAnsi="Aptos" w:cstheme="minorBidi"/>
          <w:b w:val="0"/>
          <w:bCs w:val="0"/>
          <w:color w:val="auto"/>
          <w:sz w:val="21"/>
          <w:szCs w:val="22"/>
        </w:rPr>
        <w:id w:val="-1743554987"/>
        <w:docPartObj>
          <w:docPartGallery w:val="Table of Contents"/>
          <w:docPartUnique/>
        </w:docPartObj>
      </w:sdtPr>
      <w:sdtEndPr/>
      <w:sdtContent>
        <w:p w14:paraId="5E297ABB" w14:textId="07D7FD46" w:rsidR="00EB1812" w:rsidRPr="0071635A" w:rsidRDefault="00B84818">
          <w:pPr>
            <w:pStyle w:val="TOCHeading"/>
            <w:rPr>
              <w:color w:val="auto"/>
            </w:rPr>
          </w:pPr>
          <w:r w:rsidRPr="0071635A">
            <w:rPr>
              <w:color w:val="auto"/>
            </w:rPr>
            <w:t>In</w:t>
          </w:r>
          <w:r w:rsidR="009F716E" w:rsidRPr="0071635A">
            <w:rPr>
              <w:color w:val="auto"/>
            </w:rPr>
            <w:t>haltsverzeichnis</w:t>
          </w:r>
          <w:r w:rsidR="009F716E" w:rsidRPr="0071635A">
            <w:rPr>
              <w:color w:val="auto"/>
            </w:rPr>
            <w:br/>
          </w:r>
        </w:p>
        <w:p w14:paraId="40B38FD6" w14:textId="0CCFB7F4" w:rsidR="00363792" w:rsidRDefault="00EB1812">
          <w:pPr>
            <w:pStyle w:val="TOC2"/>
            <w:tabs>
              <w:tab w:val="right" w:leader="dot" w:pos="10070"/>
            </w:tabs>
            <w:rPr>
              <w:rFonts w:asciiTheme="minorHAnsi" w:eastAsiaTheme="minorEastAsia" w:hAnsiTheme="minorHAnsi"/>
              <w:noProof/>
              <w:kern w:val="2"/>
              <w:sz w:val="24"/>
              <w:szCs w:val="24"/>
              <w:lang w:eastAsia="de-DE"/>
              <w14:ligatures w14:val="standardContextual"/>
            </w:rPr>
          </w:pPr>
          <w:r w:rsidRPr="0071635A">
            <w:fldChar w:fldCharType="begin"/>
          </w:r>
          <w:r w:rsidRPr="0071635A">
            <w:instrText xml:space="preserve"> TOC \o "1-3" \h \z \u </w:instrText>
          </w:r>
          <w:r w:rsidRPr="0071635A">
            <w:fldChar w:fldCharType="separate"/>
          </w:r>
          <w:hyperlink w:anchor="_Toc239175241" w:history="1">
            <w:r w:rsidR="00363792" w:rsidRPr="00EA604E">
              <w:rPr>
                <w:rStyle w:val="Hyperlink"/>
                <w:rFonts w:ascii="Aptos Display" w:eastAsia="Aptos Display" w:hAnsi="Aptos Display"/>
                <w:noProof/>
              </w:rPr>
              <w:t>1. Überblick</w:t>
            </w:r>
            <w:r w:rsidR="00363792">
              <w:rPr>
                <w:noProof/>
                <w:webHidden/>
              </w:rPr>
              <w:tab/>
            </w:r>
            <w:r w:rsidR="00363792">
              <w:rPr>
                <w:noProof/>
                <w:webHidden/>
              </w:rPr>
              <w:fldChar w:fldCharType="begin"/>
            </w:r>
            <w:r w:rsidR="00363792">
              <w:rPr>
                <w:noProof/>
                <w:webHidden/>
              </w:rPr>
              <w:instrText xml:space="preserve"> PAGEREF _Toc239175241 \h </w:instrText>
            </w:r>
            <w:r w:rsidR="00363792">
              <w:rPr>
                <w:noProof/>
                <w:webHidden/>
              </w:rPr>
            </w:r>
            <w:r w:rsidR="00363792">
              <w:rPr>
                <w:noProof/>
                <w:webHidden/>
              </w:rPr>
              <w:fldChar w:fldCharType="separate"/>
            </w:r>
            <w:r w:rsidR="00363792">
              <w:rPr>
                <w:noProof/>
                <w:webHidden/>
              </w:rPr>
              <w:t>3</w:t>
            </w:r>
            <w:r w:rsidR="00363792">
              <w:rPr>
                <w:noProof/>
                <w:webHidden/>
              </w:rPr>
              <w:fldChar w:fldCharType="end"/>
            </w:r>
          </w:hyperlink>
        </w:p>
        <w:p w14:paraId="43A1E985" w14:textId="40D2F5F4"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2" w:history="1">
            <w:r w:rsidRPr="00EA604E">
              <w:rPr>
                <w:rStyle w:val="Hyperlink"/>
                <w:rFonts w:ascii="Aptos Display" w:eastAsia="Aptos Display" w:hAnsi="Aptos Display"/>
                <w:noProof/>
              </w:rPr>
              <w:t>2. Zweck</w:t>
            </w:r>
            <w:r>
              <w:rPr>
                <w:noProof/>
                <w:webHidden/>
              </w:rPr>
              <w:tab/>
            </w:r>
            <w:r>
              <w:rPr>
                <w:noProof/>
                <w:webHidden/>
              </w:rPr>
              <w:fldChar w:fldCharType="begin"/>
            </w:r>
            <w:r>
              <w:rPr>
                <w:noProof/>
                <w:webHidden/>
              </w:rPr>
              <w:instrText xml:space="preserve"> PAGEREF _Toc239175242 \h </w:instrText>
            </w:r>
            <w:r>
              <w:rPr>
                <w:noProof/>
                <w:webHidden/>
              </w:rPr>
            </w:r>
            <w:r>
              <w:rPr>
                <w:noProof/>
                <w:webHidden/>
              </w:rPr>
              <w:fldChar w:fldCharType="separate"/>
            </w:r>
            <w:r>
              <w:rPr>
                <w:noProof/>
                <w:webHidden/>
              </w:rPr>
              <w:t>3</w:t>
            </w:r>
            <w:r>
              <w:rPr>
                <w:noProof/>
                <w:webHidden/>
              </w:rPr>
              <w:fldChar w:fldCharType="end"/>
            </w:r>
          </w:hyperlink>
        </w:p>
        <w:p w14:paraId="358878EC" w14:textId="438E259F"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3" w:history="1">
            <w:r w:rsidRPr="00EA604E">
              <w:rPr>
                <w:rStyle w:val="Hyperlink"/>
                <w:rFonts w:ascii="Aptos Display" w:eastAsia="Aptos Display" w:hAnsi="Aptos Display"/>
                <w:noProof/>
              </w:rPr>
              <w:t>3. Geltungsbereich</w:t>
            </w:r>
            <w:r>
              <w:rPr>
                <w:noProof/>
                <w:webHidden/>
              </w:rPr>
              <w:tab/>
            </w:r>
            <w:r>
              <w:rPr>
                <w:noProof/>
                <w:webHidden/>
              </w:rPr>
              <w:fldChar w:fldCharType="begin"/>
            </w:r>
            <w:r>
              <w:rPr>
                <w:noProof/>
                <w:webHidden/>
              </w:rPr>
              <w:instrText xml:space="preserve"> PAGEREF _Toc239175243 \h </w:instrText>
            </w:r>
            <w:r>
              <w:rPr>
                <w:noProof/>
                <w:webHidden/>
              </w:rPr>
            </w:r>
            <w:r>
              <w:rPr>
                <w:noProof/>
                <w:webHidden/>
              </w:rPr>
              <w:fldChar w:fldCharType="separate"/>
            </w:r>
            <w:r>
              <w:rPr>
                <w:noProof/>
                <w:webHidden/>
              </w:rPr>
              <w:t>3</w:t>
            </w:r>
            <w:r>
              <w:rPr>
                <w:noProof/>
                <w:webHidden/>
              </w:rPr>
              <w:fldChar w:fldCharType="end"/>
            </w:r>
          </w:hyperlink>
        </w:p>
        <w:p w14:paraId="4F93B4E6" w14:textId="7DD7A538"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4" w:history="1">
            <w:r w:rsidRPr="00EA604E">
              <w:rPr>
                <w:rStyle w:val="Hyperlink"/>
                <w:rFonts w:ascii="Aptos Display" w:eastAsia="Aptos Display" w:hAnsi="Aptos Display"/>
                <w:noProof/>
              </w:rPr>
              <w:t>4. Richtlinie</w:t>
            </w:r>
            <w:r>
              <w:rPr>
                <w:noProof/>
                <w:webHidden/>
              </w:rPr>
              <w:tab/>
            </w:r>
            <w:r>
              <w:rPr>
                <w:noProof/>
                <w:webHidden/>
              </w:rPr>
              <w:fldChar w:fldCharType="begin"/>
            </w:r>
            <w:r>
              <w:rPr>
                <w:noProof/>
                <w:webHidden/>
              </w:rPr>
              <w:instrText xml:space="preserve"> PAGEREF _Toc239175244 \h </w:instrText>
            </w:r>
            <w:r>
              <w:rPr>
                <w:noProof/>
                <w:webHidden/>
              </w:rPr>
            </w:r>
            <w:r>
              <w:rPr>
                <w:noProof/>
                <w:webHidden/>
              </w:rPr>
              <w:fldChar w:fldCharType="separate"/>
            </w:r>
            <w:r>
              <w:rPr>
                <w:noProof/>
                <w:webHidden/>
              </w:rPr>
              <w:t>3</w:t>
            </w:r>
            <w:r>
              <w:rPr>
                <w:noProof/>
                <w:webHidden/>
              </w:rPr>
              <w:fldChar w:fldCharType="end"/>
            </w:r>
          </w:hyperlink>
        </w:p>
        <w:p w14:paraId="708FBA1D" w14:textId="3E5C1C89"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5" w:history="1">
            <w:r w:rsidRPr="00EA604E">
              <w:rPr>
                <w:rStyle w:val="Hyperlink"/>
                <w:rFonts w:ascii="Aptos Display" w:eastAsia="Aptos Display" w:hAnsi="Aptos Display"/>
                <w:noProof/>
              </w:rPr>
              <w:t>5. Rollen und Verantwortlichkeiten</w:t>
            </w:r>
            <w:r>
              <w:rPr>
                <w:noProof/>
                <w:webHidden/>
              </w:rPr>
              <w:tab/>
            </w:r>
            <w:r>
              <w:rPr>
                <w:noProof/>
                <w:webHidden/>
              </w:rPr>
              <w:fldChar w:fldCharType="begin"/>
            </w:r>
            <w:r>
              <w:rPr>
                <w:noProof/>
                <w:webHidden/>
              </w:rPr>
              <w:instrText xml:space="preserve"> PAGEREF _Toc239175245 \h </w:instrText>
            </w:r>
            <w:r>
              <w:rPr>
                <w:noProof/>
                <w:webHidden/>
              </w:rPr>
            </w:r>
            <w:r>
              <w:rPr>
                <w:noProof/>
                <w:webHidden/>
              </w:rPr>
              <w:fldChar w:fldCharType="separate"/>
            </w:r>
            <w:r>
              <w:rPr>
                <w:noProof/>
                <w:webHidden/>
              </w:rPr>
              <w:t>4</w:t>
            </w:r>
            <w:r>
              <w:rPr>
                <w:noProof/>
                <w:webHidden/>
              </w:rPr>
              <w:fldChar w:fldCharType="end"/>
            </w:r>
          </w:hyperlink>
        </w:p>
        <w:p w14:paraId="54E3CD37" w14:textId="459A0BFE"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6" w:history="1">
            <w:r w:rsidRPr="00EA604E">
              <w:rPr>
                <w:rStyle w:val="Hyperlink"/>
                <w:rFonts w:ascii="Aptos Display" w:eastAsia="Aptos Display" w:hAnsi="Aptos Display"/>
                <w:noProof/>
              </w:rPr>
              <w:t>6. Struktur des IT-Asset-Inventars</w:t>
            </w:r>
            <w:r>
              <w:rPr>
                <w:noProof/>
                <w:webHidden/>
              </w:rPr>
              <w:tab/>
            </w:r>
            <w:r>
              <w:rPr>
                <w:noProof/>
                <w:webHidden/>
              </w:rPr>
              <w:fldChar w:fldCharType="begin"/>
            </w:r>
            <w:r>
              <w:rPr>
                <w:noProof/>
                <w:webHidden/>
              </w:rPr>
              <w:instrText xml:space="preserve"> PAGEREF _Toc239175246 \h </w:instrText>
            </w:r>
            <w:r>
              <w:rPr>
                <w:noProof/>
                <w:webHidden/>
              </w:rPr>
            </w:r>
            <w:r>
              <w:rPr>
                <w:noProof/>
                <w:webHidden/>
              </w:rPr>
              <w:fldChar w:fldCharType="separate"/>
            </w:r>
            <w:r>
              <w:rPr>
                <w:noProof/>
                <w:webHidden/>
              </w:rPr>
              <w:t>5</w:t>
            </w:r>
            <w:r>
              <w:rPr>
                <w:noProof/>
                <w:webHidden/>
              </w:rPr>
              <w:fldChar w:fldCharType="end"/>
            </w:r>
          </w:hyperlink>
        </w:p>
        <w:p w14:paraId="4244995D" w14:textId="1DA62E82" w:rsidR="00363792" w:rsidRDefault="00363792">
          <w:pPr>
            <w:pStyle w:val="TOC3"/>
            <w:tabs>
              <w:tab w:val="right" w:leader="dot" w:pos="10070"/>
            </w:tabs>
            <w:rPr>
              <w:rFonts w:asciiTheme="minorHAnsi" w:eastAsiaTheme="minorEastAsia" w:hAnsiTheme="minorHAnsi"/>
              <w:noProof/>
              <w:kern w:val="2"/>
              <w:sz w:val="24"/>
              <w:szCs w:val="24"/>
              <w:lang w:eastAsia="de-DE"/>
              <w14:ligatures w14:val="standardContextual"/>
            </w:rPr>
          </w:pPr>
          <w:hyperlink w:anchor="_Toc239175247" w:history="1">
            <w:r w:rsidRPr="00EA604E">
              <w:rPr>
                <w:rStyle w:val="Hyperlink"/>
                <w:rFonts w:ascii="Aptos Display" w:eastAsia="Aptos Display" w:hAnsi="Aptos Display"/>
                <w:noProof/>
              </w:rPr>
              <w:t>6.1 Asset-Klassifizierung</w:t>
            </w:r>
            <w:r>
              <w:rPr>
                <w:noProof/>
                <w:webHidden/>
              </w:rPr>
              <w:tab/>
            </w:r>
            <w:r>
              <w:rPr>
                <w:noProof/>
                <w:webHidden/>
              </w:rPr>
              <w:fldChar w:fldCharType="begin"/>
            </w:r>
            <w:r>
              <w:rPr>
                <w:noProof/>
                <w:webHidden/>
              </w:rPr>
              <w:instrText xml:space="preserve"> PAGEREF _Toc239175247 \h </w:instrText>
            </w:r>
            <w:r>
              <w:rPr>
                <w:noProof/>
                <w:webHidden/>
              </w:rPr>
            </w:r>
            <w:r>
              <w:rPr>
                <w:noProof/>
                <w:webHidden/>
              </w:rPr>
              <w:fldChar w:fldCharType="separate"/>
            </w:r>
            <w:r>
              <w:rPr>
                <w:noProof/>
                <w:webHidden/>
              </w:rPr>
              <w:t>5</w:t>
            </w:r>
            <w:r>
              <w:rPr>
                <w:noProof/>
                <w:webHidden/>
              </w:rPr>
              <w:fldChar w:fldCharType="end"/>
            </w:r>
          </w:hyperlink>
        </w:p>
        <w:p w14:paraId="5CBC4B37" w14:textId="0605A01A"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8" w:history="1">
            <w:r w:rsidRPr="00EA604E">
              <w:rPr>
                <w:rStyle w:val="Hyperlink"/>
                <w:rFonts w:ascii="Aptos Display" w:eastAsia="Aptos Display" w:hAnsi="Aptos Display"/>
                <w:noProof/>
              </w:rPr>
              <w:t>7. Management des Asset-Lebenszyklus</w:t>
            </w:r>
            <w:r>
              <w:rPr>
                <w:noProof/>
                <w:webHidden/>
              </w:rPr>
              <w:tab/>
            </w:r>
            <w:r>
              <w:rPr>
                <w:noProof/>
                <w:webHidden/>
              </w:rPr>
              <w:fldChar w:fldCharType="begin"/>
            </w:r>
            <w:r>
              <w:rPr>
                <w:noProof/>
                <w:webHidden/>
              </w:rPr>
              <w:instrText xml:space="preserve"> PAGEREF _Toc239175248 \h </w:instrText>
            </w:r>
            <w:r>
              <w:rPr>
                <w:noProof/>
                <w:webHidden/>
              </w:rPr>
            </w:r>
            <w:r>
              <w:rPr>
                <w:noProof/>
                <w:webHidden/>
              </w:rPr>
              <w:fldChar w:fldCharType="separate"/>
            </w:r>
            <w:r>
              <w:rPr>
                <w:noProof/>
                <w:webHidden/>
              </w:rPr>
              <w:t>6</w:t>
            </w:r>
            <w:r>
              <w:rPr>
                <w:noProof/>
                <w:webHidden/>
              </w:rPr>
              <w:fldChar w:fldCharType="end"/>
            </w:r>
          </w:hyperlink>
        </w:p>
        <w:p w14:paraId="3E9E734B" w14:textId="2771D17F"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49" w:history="1">
            <w:r w:rsidRPr="00EA604E">
              <w:rPr>
                <w:rStyle w:val="Hyperlink"/>
                <w:rFonts w:ascii="Aptos Display" w:eastAsia="Aptos Display" w:hAnsi="Aptos Display"/>
                <w:noProof/>
              </w:rPr>
              <w:t>8. Leitlinien für Wartung und Pflege</w:t>
            </w:r>
            <w:r>
              <w:rPr>
                <w:noProof/>
                <w:webHidden/>
              </w:rPr>
              <w:tab/>
            </w:r>
            <w:r>
              <w:rPr>
                <w:noProof/>
                <w:webHidden/>
              </w:rPr>
              <w:fldChar w:fldCharType="begin"/>
            </w:r>
            <w:r>
              <w:rPr>
                <w:noProof/>
                <w:webHidden/>
              </w:rPr>
              <w:instrText xml:space="preserve"> PAGEREF _Toc239175249 \h </w:instrText>
            </w:r>
            <w:r>
              <w:rPr>
                <w:noProof/>
                <w:webHidden/>
              </w:rPr>
            </w:r>
            <w:r>
              <w:rPr>
                <w:noProof/>
                <w:webHidden/>
              </w:rPr>
              <w:fldChar w:fldCharType="separate"/>
            </w:r>
            <w:r>
              <w:rPr>
                <w:noProof/>
                <w:webHidden/>
              </w:rPr>
              <w:t>7</w:t>
            </w:r>
            <w:r>
              <w:rPr>
                <w:noProof/>
                <w:webHidden/>
              </w:rPr>
              <w:fldChar w:fldCharType="end"/>
            </w:r>
          </w:hyperlink>
        </w:p>
        <w:p w14:paraId="5FB9D6D1" w14:textId="1C33C865"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50" w:history="1">
            <w:r w:rsidRPr="00EA604E">
              <w:rPr>
                <w:rStyle w:val="Hyperlink"/>
                <w:rFonts w:ascii="Aptos Display" w:eastAsia="Aptos Display" w:hAnsi="Aptos Display"/>
                <w:noProof/>
              </w:rPr>
              <w:t>9. Zulässige Nutzung</w:t>
            </w:r>
            <w:r>
              <w:rPr>
                <w:noProof/>
                <w:webHidden/>
              </w:rPr>
              <w:tab/>
            </w:r>
            <w:r>
              <w:rPr>
                <w:noProof/>
                <w:webHidden/>
              </w:rPr>
              <w:fldChar w:fldCharType="begin"/>
            </w:r>
            <w:r>
              <w:rPr>
                <w:noProof/>
                <w:webHidden/>
              </w:rPr>
              <w:instrText xml:space="preserve"> PAGEREF _Toc239175250 \h </w:instrText>
            </w:r>
            <w:r>
              <w:rPr>
                <w:noProof/>
                <w:webHidden/>
              </w:rPr>
            </w:r>
            <w:r>
              <w:rPr>
                <w:noProof/>
                <w:webHidden/>
              </w:rPr>
              <w:fldChar w:fldCharType="separate"/>
            </w:r>
            <w:r>
              <w:rPr>
                <w:noProof/>
                <w:webHidden/>
              </w:rPr>
              <w:t>8</w:t>
            </w:r>
            <w:r>
              <w:rPr>
                <w:noProof/>
                <w:webHidden/>
              </w:rPr>
              <w:fldChar w:fldCharType="end"/>
            </w:r>
          </w:hyperlink>
        </w:p>
        <w:p w14:paraId="7772F035" w14:textId="31D314CA"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51" w:history="1">
            <w:r w:rsidRPr="00EA604E">
              <w:rPr>
                <w:rStyle w:val="Hyperlink"/>
                <w:rFonts w:ascii="Aptos Display" w:eastAsia="Aptos Display" w:hAnsi="Aptos Display"/>
                <w:noProof/>
              </w:rPr>
              <w:t>10. Ausnahme</w:t>
            </w:r>
            <w:r>
              <w:rPr>
                <w:noProof/>
                <w:webHidden/>
              </w:rPr>
              <w:tab/>
            </w:r>
            <w:r>
              <w:rPr>
                <w:noProof/>
                <w:webHidden/>
              </w:rPr>
              <w:fldChar w:fldCharType="begin"/>
            </w:r>
            <w:r>
              <w:rPr>
                <w:noProof/>
                <w:webHidden/>
              </w:rPr>
              <w:instrText xml:space="preserve"> PAGEREF _Toc239175251 \h </w:instrText>
            </w:r>
            <w:r>
              <w:rPr>
                <w:noProof/>
                <w:webHidden/>
              </w:rPr>
            </w:r>
            <w:r>
              <w:rPr>
                <w:noProof/>
                <w:webHidden/>
              </w:rPr>
              <w:fldChar w:fldCharType="separate"/>
            </w:r>
            <w:r>
              <w:rPr>
                <w:noProof/>
                <w:webHidden/>
              </w:rPr>
              <w:t>8</w:t>
            </w:r>
            <w:r>
              <w:rPr>
                <w:noProof/>
                <w:webHidden/>
              </w:rPr>
              <w:fldChar w:fldCharType="end"/>
            </w:r>
          </w:hyperlink>
        </w:p>
        <w:p w14:paraId="0F760AC2" w14:textId="3D407CC3"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52" w:history="1">
            <w:r w:rsidRPr="00EA604E">
              <w:rPr>
                <w:rStyle w:val="Hyperlink"/>
                <w:rFonts w:ascii="Aptos Display" w:eastAsia="Aptos Display" w:hAnsi="Aptos Display"/>
                <w:noProof/>
              </w:rPr>
              <w:t>11. Compliance</w:t>
            </w:r>
            <w:r>
              <w:rPr>
                <w:noProof/>
                <w:webHidden/>
              </w:rPr>
              <w:tab/>
            </w:r>
            <w:r>
              <w:rPr>
                <w:noProof/>
                <w:webHidden/>
              </w:rPr>
              <w:fldChar w:fldCharType="begin"/>
            </w:r>
            <w:r>
              <w:rPr>
                <w:noProof/>
                <w:webHidden/>
              </w:rPr>
              <w:instrText xml:space="preserve"> PAGEREF _Toc239175252 \h </w:instrText>
            </w:r>
            <w:r>
              <w:rPr>
                <w:noProof/>
                <w:webHidden/>
              </w:rPr>
            </w:r>
            <w:r>
              <w:rPr>
                <w:noProof/>
                <w:webHidden/>
              </w:rPr>
              <w:fldChar w:fldCharType="separate"/>
            </w:r>
            <w:r>
              <w:rPr>
                <w:noProof/>
                <w:webHidden/>
              </w:rPr>
              <w:t>8</w:t>
            </w:r>
            <w:r>
              <w:rPr>
                <w:noProof/>
                <w:webHidden/>
              </w:rPr>
              <w:fldChar w:fldCharType="end"/>
            </w:r>
          </w:hyperlink>
        </w:p>
        <w:p w14:paraId="3E875E5D" w14:textId="715F72D3" w:rsidR="00363792" w:rsidRDefault="00363792">
          <w:pPr>
            <w:pStyle w:val="TOC2"/>
            <w:tabs>
              <w:tab w:val="right" w:leader="dot" w:pos="10070"/>
            </w:tabs>
            <w:rPr>
              <w:rFonts w:asciiTheme="minorHAnsi" w:eastAsiaTheme="minorEastAsia" w:hAnsiTheme="minorHAnsi"/>
              <w:noProof/>
              <w:kern w:val="2"/>
              <w:sz w:val="24"/>
              <w:szCs w:val="24"/>
              <w:lang w:eastAsia="de-DE"/>
              <w14:ligatures w14:val="standardContextual"/>
            </w:rPr>
          </w:pPr>
          <w:hyperlink w:anchor="_Toc239175253" w:history="1">
            <w:r w:rsidRPr="00EA604E">
              <w:rPr>
                <w:rStyle w:val="Hyperlink"/>
                <w:rFonts w:ascii="Aptos Display" w:eastAsia="Aptos Display" w:hAnsi="Aptos Display"/>
                <w:noProof/>
              </w:rPr>
              <w:t>Anhang: Definitionen</w:t>
            </w:r>
            <w:r>
              <w:rPr>
                <w:noProof/>
                <w:webHidden/>
              </w:rPr>
              <w:tab/>
            </w:r>
            <w:r>
              <w:rPr>
                <w:noProof/>
                <w:webHidden/>
              </w:rPr>
              <w:fldChar w:fldCharType="begin"/>
            </w:r>
            <w:r>
              <w:rPr>
                <w:noProof/>
                <w:webHidden/>
              </w:rPr>
              <w:instrText xml:space="preserve"> PAGEREF _Toc239175253 \h </w:instrText>
            </w:r>
            <w:r>
              <w:rPr>
                <w:noProof/>
                <w:webHidden/>
              </w:rPr>
            </w:r>
            <w:r>
              <w:rPr>
                <w:noProof/>
                <w:webHidden/>
              </w:rPr>
              <w:fldChar w:fldCharType="separate"/>
            </w:r>
            <w:r>
              <w:rPr>
                <w:noProof/>
                <w:webHidden/>
              </w:rPr>
              <w:t>9</w:t>
            </w:r>
            <w:r>
              <w:rPr>
                <w:noProof/>
                <w:webHidden/>
              </w:rPr>
              <w:fldChar w:fldCharType="end"/>
            </w:r>
          </w:hyperlink>
        </w:p>
        <w:p w14:paraId="78563897" w14:textId="6A3BDDDD" w:rsidR="00EB1812" w:rsidRPr="0071635A" w:rsidRDefault="00EB1812">
          <w:r w:rsidRPr="0071635A">
            <w:rPr>
              <w:b/>
              <w:bCs/>
            </w:rPr>
            <w:fldChar w:fldCharType="end"/>
          </w:r>
        </w:p>
      </w:sdtContent>
    </w:sdt>
    <w:p w14:paraId="14F20F18" w14:textId="2C0B0EA7" w:rsidR="00294066" w:rsidRPr="0071635A" w:rsidRDefault="00375155">
      <w:r w:rsidRPr="0071635A">
        <w:br w:type="page"/>
      </w:r>
    </w:p>
    <w:p w14:paraId="2539D96C" w14:textId="37E66DC7" w:rsidR="00294066" w:rsidRDefault="00E94539">
      <w:pPr>
        <w:pStyle w:val="Heading2"/>
        <w:rPr>
          <w:rFonts w:ascii="Aptos Display" w:eastAsia="Aptos Display" w:hAnsi="Aptos Display"/>
          <w:color w:val="auto"/>
        </w:rPr>
      </w:pPr>
      <w:bookmarkStart w:id="0" w:name="_Toc239175241"/>
      <w:r w:rsidRPr="0071635A">
        <w:rPr>
          <w:rFonts w:ascii="Aptos Display" w:eastAsia="Aptos Display" w:hAnsi="Aptos Display"/>
          <w:color w:val="auto"/>
        </w:rPr>
        <w:lastRenderedPageBreak/>
        <w:t xml:space="preserve">1. </w:t>
      </w:r>
      <w:r w:rsidR="00375155" w:rsidRPr="0071635A">
        <w:rPr>
          <w:rFonts w:ascii="Aptos Display" w:eastAsia="Aptos Display" w:hAnsi="Aptos Display"/>
          <w:color w:val="auto"/>
        </w:rPr>
        <w:t>Überblick</w:t>
      </w:r>
      <w:bookmarkEnd w:id="0"/>
    </w:p>
    <w:p w14:paraId="775416DF" w14:textId="77777777" w:rsidR="004038A9" w:rsidRPr="004038A9" w:rsidRDefault="004038A9" w:rsidP="004038A9"/>
    <w:p w14:paraId="3756C593" w14:textId="77777777" w:rsidR="00294066" w:rsidRDefault="00375155">
      <w:pPr>
        <w:spacing w:after="120" w:line="259" w:lineRule="auto"/>
      </w:pPr>
      <w:r w:rsidRPr="0071635A">
        <w:rPr>
          <w:highlight w:val="yellow"/>
        </w:rPr>
        <w:t>[UNTERNEHMENSNAME]</w:t>
      </w:r>
      <w:r w:rsidRPr="0071635A">
        <w:t xml:space="preserve"> verpflichtet sich, seinen gesetzlichen, regulatorischen und ethischen Verpflichtungen zum Schutz personenbezogener Informationen (PI) seiner Mitarbeitenden, Partner und Kunden nachzukommen. Ein wirksames Management von Informationstechnologie-Assets (IT-Assets)[1] umfasst die Pflege eines vollständigen Inventars aller IT-Assets im Netzwerk, die Sicherstellung von Transparenz und Kontrolle über die IT-Umgebung sowie die Umsetzung von Maßnahmen zur Verhinderung unbefugten Zugriffs und unbefugter Nutzung.</w:t>
      </w:r>
    </w:p>
    <w:p w14:paraId="343114D6" w14:textId="77777777" w:rsidR="004038A9" w:rsidRPr="0071635A" w:rsidRDefault="004038A9">
      <w:pPr>
        <w:spacing w:after="120" w:line="259" w:lineRule="auto"/>
      </w:pPr>
    </w:p>
    <w:p w14:paraId="16E65ADE" w14:textId="3876EFBE" w:rsidR="00294066" w:rsidRDefault="00E94539">
      <w:pPr>
        <w:pStyle w:val="Heading2"/>
        <w:rPr>
          <w:rFonts w:ascii="Aptos Display" w:eastAsia="Aptos Display" w:hAnsi="Aptos Display"/>
          <w:color w:val="auto"/>
        </w:rPr>
      </w:pPr>
      <w:bookmarkStart w:id="1" w:name="_Toc239175242"/>
      <w:r w:rsidRPr="0071635A">
        <w:rPr>
          <w:rFonts w:ascii="Aptos Display" w:eastAsia="Aptos Display" w:hAnsi="Aptos Display"/>
          <w:color w:val="auto"/>
        </w:rPr>
        <w:t xml:space="preserve">2. </w:t>
      </w:r>
      <w:r w:rsidR="00375155" w:rsidRPr="0071635A">
        <w:rPr>
          <w:rFonts w:ascii="Aptos Display" w:eastAsia="Aptos Display" w:hAnsi="Aptos Display"/>
          <w:color w:val="auto"/>
        </w:rPr>
        <w:t>Zweck</w:t>
      </w:r>
      <w:bookmarkEnd w:id="1"/>
    </w:p>
    <w:p w14:paraId="0FAC826C" w14:textId="77777777" w:rsidR="004038A9" w:rsidRPr="004038A9" w:rsidRDefault="004038A9" w:rsidP="004038A9"/>
    <w:p w14:paraId="1E38AE8C" w14:textId="77777777" w:rsidR="00294066" w:rsidRDefault="00375155">
      <w:pPr>
        <w:spacing w:after="120" w:line="259" w:lineRule="auto"/>
      </w:pPr>
      <w:r w:rsidRPr="0071635A">
        <w:t xml:space="preserve">Diese Richtlinie legt die Anforderungen für die Erstellung und Pflege eines vollständigen Inventars der IT-Assets von </w:t>
      </w:r>
      <w:r w:rsidRPr="0071635A">
        <w:rPr>
          <w:highlight w:val="yellow"/>
        </w:rPr>
        <w:t>[UNTERNEHMENSNAME]</w:t>
      </w:r>
      <w:r w:rsidRPr="0071635A">
        <w:t xml:space="preserve"> fest und definiert einen Prozess zur Verwaltung dieser Assets über ihren gesamten Service-Lebenszyklus hinweg, von der Beschaffung bis zur Entsorgung oder Vernichtung. Ein umfassendes IT-Asset-Inventar ist wesentlich, um potenzielle Schwachstellen zu identifizieren und Risiken innerhalb der IT-Umgebung wirksam zu steuern.</w:t>
      </w:r>
    </w:p>
    <w:p w14:paraId="55199B64" w14:textId="77777777" w:rsidR="004038A9" w:rsidRPr="0071635A" w:rsidRDefault="004038A9">
      <w:pPr>
        <w:spacing w:after="120" w:line="259" w:lineRule="auto"/>
      </w:pPr>
    </w:p>
    <w:p w14:paraId="7F8CF7AA" w14:textId="16DD5932" w:rsidR="00294066" w:rsidRDefault="00E94539">
      <w:pPr>
        <w:pStyle w:val="Heading2"/>
        <w:rPr>
          <w:rFonts w:ascii="Aptos Display" w:eastAsia="Aptos Display" w:hAnsi="Aptos Display"/>
          <w:color w:val="auto"/>
        </w:rPr>
      </w:pPr>
      <w:bookmarkStart w:id="2" w:name="_Toc239175243"/>
      <w:r w:rsidRPr="0071635A">
        <w:rPr>
          <w:rFonts w:ascii="Aptos Display" w:eastAsia="Aptos Display" w:hAnsi="Aptos Display"/>
          <w:color w:val="auto"/>
        </w:rPr>
        <w:t xml:space="preserve">3. </w:t>
      </w:r>
      <w:r w:rsidR="00375155" w:rsidRPr="0071635A">
        <w:rPr>
          <w:rFonts w:ascii="Aptos Display" w:eastAsia="Aptos Display" w:hAnsi="Aptos Display"/>
          <w:color w:val="auto"/>
        </w:rPr>
        <w:t>Geltungsbereich</w:t>
      </w:r>
      <w:bookmarkEnd w:id="2"/>
    </w:p>
    <w:p w14:paraId="65B84E22" w14:textId="77777777" w:rsidR="004038A9" w:rsidRPr="004038A9" w:rsidRDefault="004038A9" w:rsidP="004038A9"/>
    <w:p w14:paraId="5E06278C" w14:textId="77777777" w:rsidR="00294066" w:rsidRPr="0071635A" w:rsidRDefault="00375155">
      <w:pPr>
        <w:spacing w:after="120" w:line="259" w:lineRule="auto"/>
      </w:pPr>
      <w:r w:rsidRPr="0071635A">
        <w:t xml:space="preserve">Diese Richtlinie gilt für alle IT-Assets, die mit dem Netzwerk von </w:t>
      </w:r>
      <w:r w:rsidRPr="0071635A">
        <w:rPr>
          <w:highlight w:val="yellow"/>
        </w:rPr>
        <w:t>[UNTERNEHMENSNAME]</w:t>
      </w:r>
      <w:r w:rsidRPr="0071635A">
        <w:t xml:space="preserve"> verbunden sind, einschließlich, jedoch nicht beschränkt auf Computer-Arbeitsplätze, Laptops, Tablets, Smartphones, Server, Appliances, Netzwerk-Switches und Router sowie sämtliche auf diesen Geräten verwendete Software. Sie umfasst Assets, die sich im Eigentum von </w:t>
      </w:r>
      <w:r w:rsidRPr="0071635A">
        <w:rPr>
          <w:highlight w:val="yellow"/>
        </w:rPr>
        <w:t>[UNTERNEHMENSNAME]</w:t>
      </w:r>
      <w:r w:rsidRPr="0071635A">
        <w:t xml:space="preserve"> befinden, geleast sind oder von </w:t>
      </w:r>
      <w:r w:rsidRPr="0071635A">
        <w:rPr>
          <w:highlight w:val="yellow"/>
        </w:rPr>
        <w:t>[UNTERNEHMENSNAME]</w:t>
      </w:r>
      <w:r w:rsidRPr="0071635A">
        <w:t xml:space="preserve"> verwaltet werden.</w:t>
      </w:r>
    </w:p>
    <w:p w14:paraId="2D280A31" w14:textId="77777777" w:rsidR="00294066" w:rsidRDefault="00375155">
      <w:pPr>
        <w:spacing w:after="120" w:line="259" w:lineRule="auto"/>
      </w:pPr>
      <w:r w:rsidRPr="0071635A">
        <w:t xml:space="preserve">Das </w:t>
      </w:r>
      <w:r w:rsidRPr="0071635A">
        <w:rPr>
          <w:highlight w:val="yellow"/>
        </w:rPr>
        <w:t>[ZUSTÄNDIGE TEAM/DIE ZUSTÄNDIGE ABTEILUNG]</w:t>
      </w:r>
      <w:r w:rsidRPr="0071635A">
        <w:t xml:space="preserve"> ist dafür verantwortlich, Informations-Assets zum Inventar und Netzwerk hinzuzufügen, diese zu aktualisieren oder daraus zu entfernen.</w:t>
      </w:r>
    </w:p>
    <w:p w14:paraId="397A578C" w14:textId="77777777" w:rsidR="004038A9" w:rsidRPr="0071635A" w:rsidRDefault="004038A9">
      <w:pPr>
        <w:spacing w:after="120" w:line="259" w:lineRule="auto"/>
      </w:pPr>
    </w:p>
    <w:p w14:paraId="741BB597" w14:textId="43A4E6AC" w:rsidR="00294066" w:rsidRDefault="00E94539">
      <w:pPr>
        <w:pStyle w:val="Heading2"/>
        <w:rPr>
          <w:rFonts w:ascii="Aptos Display" w:eastAsia="Aptos Display" w:hAnsi="Aptos Display"/>
          <w:color w:val="auto"/>
        </w:rPr>
      </w:pPr>
      <w:bookmarkStart w:id="3" w:name="_Toc239175244"/>
      <w:r w:rsidRPr="0071635A">
        <w:rPr>
          <w:rFonts w:ascii="Aptos Display" w:eastAsia="Aptos Display" w:hAnsi="Aptos Display"/>
          <w:color w:val="auto"/>
        </w:rPr>
        <w:t xml:space="preserve">4. </w:t>
      </w:r>
      <w:r w:rsidR="00375155" w:rsidRPr="0071635A">
        <w:rPr>
          <w:rFonts w:ascii="Aptos Display" w:eastAsia="Aptos Display" w:hAnsi="Aptos Display"/>
          <w:color w:val="auto"/>
        </w:rPr>
        <w:t>Richtlinie</w:t>
      </w:r>
      <w:bookmarkEnd w:id="3"/>
    </w:p>
    <w:p w14:paraId="3F28EAEF" w14:textId="77777777" w:rsidR="004038A9" w:rsidRPr="004038A9" w:rsidRDefault="004038A9" w:rsidP="004038A9"/>
    <w:p w14:paraId="6612601C" w14:textId="77777777" w:rsidR="00294066" w:rsidRDefault="00375155">
      <w:pPr>
        <w:spacing w:after="120" w:line="259" w:lineRule="auto"/>
      </w:pPr>
      <w:r w:rsidRPr="0071635A">
        <w:t xml:space="preserve">Alle IT-Assets müssen gemäß dieser Richtlinie korrekt identifiziert, erfasst, klassifiziert und verwaltet werden. </w:t>
      </w:r>
      <w:r w:rsidRPr="0071635A">
        <w:rPr>
          <w:highlight w:val="yellow"/>
        </w:rPr>
        <w:t>[UNTERNEHMENSNAME]</w:t>
      </w:r>
      <w:r w:rsidRPr="0071635A">
        <w:t xml:space="preserve"> stellt sicher, dass ausschließlich katalogisierten IT-Assets der Netzwerkzugriff gestattet wird. IT-Assets, die als nicht konform identifiziert werden oder nicht im Inventar enthalten sind, werden entweder aktualisiert, um die Compliance-Anforderungen zu erfüllen, oder unverzüglich aus dem Netzwerk entfernt, wobei bei Bedarf manuelle oder automatisierte Prozesse eingesetzt werden.</w:t>
      </w:r>
    </w:p>
    <w:p w14:paraId="68D6C192" w14:textId="77777777" w:rsidR="004038A9" w:rsidRDefault="004038A9">
      <w:pPr>
        <w:spacing w:after="120" w:line="259" w:lineRule="auto"/>
      </w:pPr>
    </w:p>
    <w:p w14:paraId="5D209F83" w14:textId="77777777" w:rsidR="004038A9" w:rsidRDefault="004038A9">
      <w:pPr>
        <w:spacing w:after="120" w:line="259" w:lineRule="auto"/>
      </w:pPr>
    </w:p>
    <w:p w14:paraId="0A413845" w14:textId="77777777" w:rsidR="004038A9" w:rsidRPr="0071635A" w:rsidRDefault="004038A9">
      <w:pPr>
        <w:spacing w:after="120" w:line="259" w:lineRule="auto"/>
      </w:pPr>
    </w:p>
    <w:p w14:paraId="69FDEE8E" w14:textId="1AE4C111" w:rsidR="00294066" w:rsidRPr="0071635A" w:rsidRDefault="00E94539">
      <w:pPr>
        <w:pStyle w:val="Heading2"/>
        <w:rPr>
          <w:color w:val="auto"/>
        </w:rPr>
      </w:pPr>
      <w:bookmarkStart w:id="4" w:name="_Toc239175245"/>
      <w:r w:rsidRPr="0071635A">
        <w:rPr>
          <w:rFonts w:ascii="Aptos Display" w:eastAsia="Aptos Display" w:hAnsi="Aptos Display"/>
          <w:color w:val="auto"/>
        </w:rPr>
        <w:lastRenderedPageBreak/>
        <w:t xml:space="preserve">5. </w:t>
      </w:r>
      <w:r w:rsidR="00375155" w:rsidRPr="0071635A">
        <w:rPr>
          <w:rFonts w:ascii="Aptos Display" w:eastAsia="Aptos Display" w:hAnsi="Aptos Display"/>
          <w:color w:val="auto"/>
        </w:rPr>
        <w:t>Rollen und Verantwortlichkeiten</w:t>
      </w:r>
      <w:bookmarkEnd w:id="4"/>
    </w:p>
    <w:tbl>
      <w:tblPr>
        <w:tblStyle w:val="TableGrid"/>
        <w:tblW w:w="0" w:type="auto"/>
        <w:jc w:val="center"/>
        <w:tblLook w:val="04A0" w:firstRow="1" w:lastRow="0" w:firstColumn="1" w:lastColumn="0" w:noHBand="0" w:noVBand="1"/>
      </w:tblPr>
      <w:tblGrid>
        <w:gridCol w:w="3121"/>
        <w:gridCol w:w="6949"/>
      </w:tblGrid>
      <w:tr w:rsidR="00294066" w:rsidRPr="0071635A" w14:paraId="6320D68D" w14:textId="77777777" w:rsidTr="00B0588C">
        <w:trPr>
          <w:jc w:val="center"/>
        </w:trPr>
        <w:tc>
          <w:tcPr>
            <w:tcW w:w="3168" w:type="dxa"/>
            <w:shd w:val="clear" w:color="auto" w:fill="000000" w:themeFill="text1"/>
            <w:tcMar>
              <w:top w:w="90" w:type="dxa"/>
              <w:left w:w="90" w:type="dxa"/>
              <w:bottom w:w="90" w:type="dxa"/>
              <w:right w:w="90" w:type="dxa"/>
            </w:tcMar>
            <w:vAlign w:val="center"/>
          </w:tcPr>
          <w:p w14:paraId="4DB5BC5D" w14:textId="77777777" w:rsidR="00294066" w:rsidRPr="0071635A" w:rsidRDefault="00375155">
            <w:pPr>
              <w:spacing w:after="40"/>
            </w:pPr>
            <w:r w:rsidRPr="0071635A">
              <w:rPr>
                <w:b/>
                <w:color w:val="FFFFFF"/>
                <w:sz w:val="20"/>
              </w:rPr>
              <w:t>Rolle</w:t>
            </w:r>
          </w:p>
        </w:tc>
        <w:tc>
          <w:tcPr>
            <w:tcW w:w="7776" w:type="dxa"/>
            <w:shd w:val="clear" w:color="auto" w:fill="000000" w:themeFill="text1"/>
            <w:tcMar>
              <w:top w:w="90" w:type="dxa"/>
              <w:left w:w="90" w:type="dxa"/>
              <w:bottom w:w="90" w:type="dxa"/>
              <w:right w:w="90" w:type="dxa"/>
            </w:tcMar>
            <w:vAlign w:val="center"/>
          </w:tcPr>
          <w:p w14:paraId="50082283" w14:textId="77777777" w:rsidR="00294066" w:rsidRPr="0071635A" w:rsidRDefault="00375155">
            <w:pPr>
              <w:spacing w:after="40"/>
            </w:pPr>
            <w:r w:rsidRPr="0071635A">
              <w:rPr>
                <w:b/>
                <w:color w:val="FFFFFF"/>
                <w:sz w:val="20"/>
              </w:rPr>
              <w:t>Verantwortlichkeiten</w:t>
            </w:r>
          </w:p>
        </w:tc>
      </w:tr>
      <w:tr w:rsidR="00294066" w:rsidRPr="0071635A" w14:paraId="7C403F6F" w14:textId="77777777">
        <w:trPr>
          <w:jc w:val="center"/>
        </w:trPr>
        <w:tc>
          <w:tcPr>
            <w:tcW w:w="3168" w:type="dxa"/>
            <w:tcMar>
              <w:top w:w="90" w:type="dxa"/>
              <w:left w:w="90" w:type="dxa"/>
              <w:bottom w:w="90" w:type="dxa"/>
              <w:right w:w="90" w:type="dxa"/>
            </w:tcMar>
            <w:vAlign w:val="center"/>
          </w:tcPr>
          <w:p w14:paraId="7DD3CCB0" w14:textId="77777777" w:rsidR="00294066" w:rsidRPr="0071635A" w:rsidRDefault="00375155">
            <w:pPr>
              <w:spacing w:after="40"/>
            </w:pPr>
            <w:r w:rsidRPr="0071635A">
              <w:rPr>
                <w:b/>
                <w:sz w:val="20"/>
                <w:highlight w:val="yellow"/>
              </w:rPr>
              <w:t>[z. B. Verwaltungsrat oder Geschäftsleitungsausschuss</w:t>
            </w:r>
            <w:r w:rsidRPr="0071635A">
              <w:rPr>
                <w:b/>
                <w:sz w:val="20"/>
              </w:rPr>
              <w:t>]</w:t>
            </w:r>
          </w:p>
        </w:tc>
        <w:tc>
          <w:tcPr>
            <w:tcW w:w="7776" w:type="dxa"/>
            <w:tcMar>
              <w:top w:w="90" w:type="dxa"/>
              <w:left w:w="90" w:type="dxa"/>
              <w:bottom w:w="90" w:type="dxa"/>
              <w:right w:w="90" w:type="dxa"/>
            </w:tcMar>
          </w:tcPr>
          <w:p w14:paraId="41608A9A" w14:textId="77777777" w:rsidR="00294066" w:rsidRPr="0071635A" w:rsidRDefault="00375155">
            <w:pPr>
              <w:pStyle w:val="ListBullet"/>
              <w:spacing w:after="40"/>
            </w:pPr>
            <w:r w:rsidRPr="0071635A">
              <w:rPr>
                <w:sz w:val="19"/>
              </w:rPr>
              <w:t>Die Durchsetzung der Richtlinie zum Asset-Management unterstützen und fördern.</w:t>
            </w:r>
          </w:p>
          <w:p w14:paraId="2FB209CB" w14:textId="77777777" w:rsidR="00294066" w:rsidRPr="0071635A" w:rsidRDefault="00375155">
            <w:pPr>
              <w:pStyle w:val="ListBullet"/>
              <w:spacing w:after="40"/>
            </w:pPr>
            <w:r w:rsidRPr="0071635A">
              <w:rPr>
                <w:sz w:val="19"/>
              </w:rPr>
              <w:t>Die Bereitstellung von Ressourcen für eine wirksame Umsetzung der Richtlinie sicherstellen.</w:t>
            </w:r>
          </w:p>
          <w:p w14:paraId="5C2E6E09" w14:textId="77777777" w:rsidR="00294066" w:rsidRPr="0071635A" w:rsidRDefault="00375155">
            <w:pPr>
              <w:pStyle w:val="ListBullet"/>
              <w:spacing w:after="40"/>
            </w:pPr>
            <w:r w:rsidRPr="0071635A">
              <w:rPr>
                <w:sz w:val="19"/>
              </w:rPr>
              <w:t>Wesentliche Änderungen an Richtlinien zum Asset-Management prüfen und genehmigen.</w:t>
            </w:r>
          </w:p>
        </w:tc>
      </w:tr>
      <w:tr w:rsidR="00294066" w:rsidRPr="0071635A" w14:paraId="613459E1" w14:textId="77777777">
        <w:trPr>
          <w:jc w:val="center"/>
        </w:trPr>
        <w:tc>
          <w:tcPr>
            <w:tcW w:w="3168" w:type="dxa"/>
            <w:tcMar>
              <w:top w:w="90" w:type="dxa"/>
              <w:left w:w="90" w:type="dxa"/>
              <w:bottom w:w="90" w:type="dxa"/>
              <w:right w:w="90" w:type="dxa"/>
            </w:tcMar>
            <w:vAlign w:val="center"/>
          </w:tcPr>
          <w:p w14:paraId="47CE824E" w14:textId="77777777" w:rsidR="00294066" w:rsidRPr="0071635A" w:rsidRDefault="00375155">
            <w:pPr>
              <w:spacing w:after="40"/>
            </w:pPr>
            <w:r w:rsidRPr="0071635A">
              <w:rPr>
                <w:b/>
                <w:sz w:val="20"/>
                <w:highlight w:val="yellow"/>
              </w:rPr>
              <w:t>[z. B. Leitung Infrastruktur oder Informationstechnologie]</w:t>
            </w:r>
          </w:p>
        </w:tc>
        <w:tc>
          <w:tcPr>
            <w:tcW w:w="7776" w:type="dxa"/>
            <w:tcMar>
              <w:top w:w="90" w:type="dxa"/>
              <w:left w:w="90" w:type="dxa"/>
              <w:bottom w:w="90" w:type="dxa"/>
              <w:right w:w="90" w:type="dxa"/>
            </w:tcMar>
          </w:tcPr>
          <w:p w14:paraId="5869C346" w14:textId="77777777" w:rsidR="00294066" w:rsidRPr="0071635A" w:rsidRDefault="00375155">
            <w:pPr>
              <w:pStyle w:val="ListBullet"/>
              <w:spacing w:after="40"/>
            </w:pPr>
            <w:r w:rsidRPr="0071635A">
              <w:rPr>
                <w:sz w:val="19"/>
              </w:rPr>
              <w:t>Als Richtlinienverantwortliche/r fungieren und die Entwicklung sowie Pflege des IT-Asset-Inventars überwachen.</w:t>
            </w:r>
          </w:p>
          <w:p w14:paraId="6C754592" w14:textId="77777777" w:rsidR="00294066" w:rsidRPr="0071635A" w:rsidRDefault="00375155">
            <w:pPr>
              <w:pStyle w:val="ListBullet"/>
              <w:spacing w:after="40"/>
            </w:pPr>
            <w:r w:rsidRPr="0071635A">
              <w:rPr>
                <w:sz w:val="19"/>
              </w:rPr>
              <w:t>Regelmäßige Überprüfungen des IT-Asset-Inventars durchführen, um Risiken im Zusammenhang mit Nichtkonformität zu identifizieren und zu adressieren.</w:t>
            </w:r>
          </w:p>
          <w:p w14:paraId="69FAD684" w14:textId="77777777" w:rsidR="00294066" w:rsidRPr="0071635A" w:rsidRDefault="00375155">
            <w:pPr>
              <w:pStyle w:val="ListBullet"/>
              <w:spacing w:after="40"/>
            </w:pPr>
            <w:r w:rsidRPr="0071635A">
              <w:rPr>
                <w:sz w:val="19"/>
              </w:rPr>
              <w:t>Sicherstellen, dass die Richtlinie mit strategischen Geschäftszielen sowie gesetzlichen und regulatorischen Anforderungen im Einklang steht.</w:t>
            </w:r>
          </w:p>
          <w:p w14:paraId="5704761F" w14:textId="77777777" w:rsidR="00294066" w:rsidRPr="0071635A" w:rsidRDefault="00375155">
            <w:pPr>
              <w:pStyle w:val="ListBullet"/>
              <w:spacing w:after="40"/>
            </w:pPr>
            <w:r w:rsidRPr="0071635A">
              <w:rPr>
                <w:sz w:val="19"/>
              </w:rPr>
              <w:t>Den Prozess für die Entsorgung oder Rückgabe von IT-Assets in Übereinstimmung mit der Richtlinie ermöglichen und steuern.</w:t>
            </w:r>
          </w:p>
        </w:tc>
      </w:tr>
      <w:tr w:rsidR="00294066" w:rsidRPr="0071635A" w14:paraId="1754CAD9" w14:textId="77777777">
        <w:trPr>
          <w:jc w:val="center"/>
        </w:trPr>
        <w:tc>
          <w:tcPr>
            <w:tcW w:w="3168" w:type="dxa"/>
            <w:tcMar>
              <w:top w:w="90" w:type="dxa"/>
              <w:left w:w="90" w:type="dxa"/>
              <w:bottom w:w="90" w:type="dxa"/>
              <w:right w:w="90" w:type="dxa"/>
            </w:tcMar>
            <w:vAlign w:val="center"/>
          </w:tcPr>
          <w:p w14:paraId="3068E5AE" w14:textId="77777777" w:rsidR="00294066" w:rsidRPr="0086376B" w:rsidRDefault="00375155">
            <w:pPr>
              <w:spacing w:after="40"/>
              <w:rPr>
                <w:lang w:val="en-US"/>
              </w:rPr>
            </w:pPr>
            <w:r w:rsidRPr="0086376B">
              <w:rPr>
                <w:b/>
                <w:sz w:val="20"/>
                <w:highlight w:val="yellow"/>
                <w:lang w:val="en-US"/>
              </w:rPr>
              <w:t>[z. B. Business Asset Owner]</w:t>
            </w:r>
          </w:p>
        </w:tc>
        <w:tc>
          <w:tcPr>
            <w:tcW w:w="7776" w:type="dxa"/>
            <w:tcMar>
              <w:top w:w="90" w:type="dxa"/>
              <w:left w:w="90" w:type="dxa"/>
              <w:bottom w:w="90" w:type="dxa"/>
              <w:right w:w="90" w:type="dxa"/>
            </w:tcMar>
          </w:tcPr>
          <w:p w14:paraId="43400EFD" w14:textId="77777777" w:rsidR="00294066" w:rsidRPr="0071635A" w:rsidRDefault="00375155">
            <w:pPr>
              <w:pStyle w:val="ListBullet"/>
              <w:spacing w:after="40"/>
            </w:pPr>
            <w:r w:rsidRPr="0071635A">
              <w:rPr>
                <w:sz w:val="19"/>
              </w:rPr>
              <w:t>Als IT-Asset-Verantwortliche/r fungieren.</w:t>
            </w:r>
          </w:p>
          <w:p w14:paraId="0B8BE464" w14:textId="77777777" w:rsidR="00294066" w:rsidRPr="0071635A" w:rsidRDefault="00375155">
            <w:pPr>
              <w:pStyle w:val="ListBullet"/>
              <w:spacing w:after="40"/>
            </w:pPr>
            <w:r w:rsidRPr="0071635A">
              <w:rPr>
                <w:sz w:val="19"/>
              </w:rPr>
              <w:t>Die tägliche Nutzung und den Schutz der zugewiesenen IT-Assets innerhalb der jeweiligen Geschäftsbereiche steuern.</w:t>
            </w:r>
          </w:p>
          <w:p w14:paraId="10C59A10" w14:textId="77777777" w:rsidR="00294066" w:rsidRPr="0071635A" w:rsidRDefault="00375155">
            <w:pPr>
              <w:pStyle w:val="ListBullet"/>
              <w:spacing w:after="40"/>
            </w:pPr>
            <w:r w:rsidRPr="0071635A">
              <w:rPr>
                <w:sz w:val="19"/>
              </w:rPr>
              <w:t>Sicherstellen, dass alle zugewiesenen IT-Assets registriert, klassifiziert und mit den Asset-Management-Richtlinien konform sind.</w:t>
            </w:r>
          </w:p>
          <w:p w14:paraId="07B4011A" w14:textId="77777777" w:rsidR="00294066" w:rsidRPr="0071635A" w:rsidRDefault="00375155">
            <w:pPr>
              <w:pStyle w:val="ListBullet"/>
              <w:spacing w:after="40"/>
            </w:pPr>
            <w:r w:rsidRPr="0071635A">
              <w:rPr>
                <w:sz w:val="19"/>
              </w:rPr>
              <w:t>Abweichungen oder Nichtkonformitäten im Zusammenhang mit dem IT-Asset-Management an die [Leitung der Abteilung Informationssicherheit] melden.</w:t>
            </w:r>
          </w:p>
          <w:p w14:paraId="1F9AF925" w14:textId="77777777" w:rsidR="00294066" w:rsidRPr="0071635A" w:rsidRDefault="00375155">
            <w:pPr>
              <w:pStyle w:val="ListBullet"/>
              <w:spacing w:after="40"/>
            </w:pPr>
            <w:r w:rsidRPr="0071635A">
              <w:rPr>
                <w:sz w:val="19"/>
              </w:rPr>
              <w:t>Verfahren für regelmäßige Bewertungen des Zustands und der Leistung von Assets umsetzen.</w:t>
            </w:r>
          </w:p>
        </w:tc>
      </w:tr>
      <w:tr w:rsidR="00294066" w:rsidRPr="0071635A" w14:paraId="212C3976" w14:textId="77777777">
        <w:trPr>
          <w:jc w:val="center"/>
        </w:trPr>
        <w:tc>
          <w:tcPr>
            <w:tcW w:w="3168" w:type="dxa"/>
            <w:tcMar>
              <w:top w:w="90" w:type="dxa"/>
              <w:left w:w="90" w:type="dxa"/>
              <w:bottom w:w="90" w:type="dxa"/>
              <w:right w:w="90" w:type="dxa"/>
            </w:tcMar>
            <w:vAlign w:val="center"/>
          </w:tcPr>
          <w:p w14:paraId="2AF6A879" w14:textId="77777777" w:rsidR="00294066" w:rsidRPr="0071635A" w:rsidRDefault="00375155">
            <w:pPr>
              <w:spacing w:after="40"/>
            </w:pPr>
            <w:r w:rsidRPr="0071635A">
              <w:rPr>
                <w:b/>
                <w:sz w:val="20"/>
                <w:highlight w:val="yellow"/>
              </w:rPr>
              <w:t>[z. B. Abteilung Informationssicherheit]</w:t>
            </w:r>
          </w:p>
        </w:tc>
        <w:tc>
          <w:tcPr>
            <w:tcW w:w="7776" w:type="dxa"/>
            <w:tcMar>
              <w:top w:w="90" w:type="dxa"/>
              <w:left w:w="90" w:type="dxa"/>
              <w:bottom w:w="90" w:type="dxa"/>
              <w:right w:w="90" w:type="dxa"/>
            </w:tcMar>
          </w:tcPr>
          <w:p w14:paraId="53A9E1ED" w14:textId="77777777" w:rsidR="00294066" w:rsidRPr="0071635A" w:rsidRDefault="00375155">
            <w:pPr>
              <w:pStyle w:val="ListBullet"/>
              <w:spacing w:after="40"/>
            </w:pPr>
            <w:r w:rsidRPr="0071635A">
              <w:rPr>
                <w:sz w:val="19"/>
              </w:rPr>
              <w:t>Sicherheitsrisiken im Zusammenhang mit IT-Assets identifizieren und bewerten sowie Maßnahmen zur Risikominderung vorschlagen.</w:t>
            </w:r>
          </w:p>
          <w:p w14:paraId="374D353D" w14:textId="77777777" w:rsidR="00294066" w:rsidRPr="0071635A" w:rsidRDefault="00375155">
            <w:pPr>
              <w:pStyle w:val="ListBullet"/>
              <w:spacing w:after="40"/>
            </w:pPr>
            <w:r w:rsidRPr="0071635A">
              <w:rPr>
                <w:sz w:val="19"/>
              </w:rPr>
              <w:t>Sicherstellen, dass IT-Assets den Sicherheitsstandards und -anforderungen des Unternehmens entsprechen.</w:t>
            </w:r>
          </w:p>
          <w:p w14:paraId="28002D78" w14:textId="77777777" w:rsidR="00294066" w:rsidRPr="0071635A" w:rsidRDefault="00375155">
            <w:pPr>
              <w:pStyle w:val="ListBullet"/>
              <w:spacing w:after="40"/>
            </w:pPr>
            <w:r w:rsidRPr="0071635A">
              <w:rPr>
                <w:sz w:val="19"/>
              </w:rPr>
              <w:t>Schwachstellen- und Sicherheitsrisikobewertungen für IT-Assets durchführen, um Schwachstellen zu identifizieren und Abhilfemaßnahmen zu priorisieren.</w:t>
            </w:r>
          </w:p>
          <w:p w14:paraId="29DD12F0" w14:textId="77777777" w:rsidR="00294066" w:rsidRPr="0071635A" w:rsidRDefault="00375155">
            <w:pPr>
              <w:pStyle w:val="ListBullet"/>
              <w:spacing w:after="40"/>
            </w:pPr>
            <w:r w:rsidRPr="0071635A">
              <w:rPr>
                <w:sz w:val="19"/>
              </w:rPr>
              <w:t>Zugriffskontrollmaßnahmen festlegen und durchsetzen, um autorisierten Zugriff auf IT-Assets sicherzustellen.</w:t>
            </w:r>
          </w:p>
        </w:tc>
      </w:tr>
      <w:tr w:rsidR="00294066" w:rsidRPr="0071635A" w14:paraId="6D7056BB" w14:textId="77777777">
        <w:trPr>
          <w:jc w:val="center"/>
        </w:trPr>
        <w:tc>
          <w:tcPr>
            <w:tcW w:w="3168" w:type="dxa"/>
            <w:tcMar>
              <w:top w:w="90" w:type="dxa"/>
              <w:left w:w="90" w:type="dxa"/>
              <w:bottom w:w="90" w:type="dxa"/>
              <w:right w:w="90" w:type="dxa"/>
            </w:tcMar>
            <w:vAlign w:val="center"/>
          </w:tcPr>
          <w:p w14:paraId="38A52727" w14:textId="77777777" w:rsidR="00294066" w:rsidRPr="0071635A" w:rsidRDefault="00375155">
            <w:pPr>
              <w:spacing w:after="40"/>
            </w:pPr>
            <w:r w:rsidRPr="0071635A">
              <w:rPr>
                <w:b/>
                <w:sz w:val="20"/>
              </w:rPr>
              <w:t>Endnutzer und Dritte</w:t>
            </w:r>
          </w:p>
        </w:tc>
        <w:tc>
          <w:tcPr>
            <w:tcW w:w="7776" w:type="dxa"/>
            <w:tcMar>
              <w:top w:w="90" w:type="dxa"/>
              <w:left w:w="90" w:type="dxa"/>
              <w:bottom w:w="90" w:type="dxa"/>
              <w:right w:w="90" w:type="dxa"/>
            </w:tcMar>
          </w:tcPr>
          <w:p w14:paraId="32DBE15B" w14:textId="77777777" w:rsidR="00294066" w:rsidRPr="0071635A" w:rsidRDefault="00375155">
            <w:pPr>
              <w:pStyle w:val="ListBullet"/>
              <w:spacing w:after="40"/>
            </w:pPr>
            <w:r w:rsidRPr="0071635A">
              <w:rPr>
                <w:sz w:val="19"/>
              </w:rPr>
              <w:t>IT-Assets des Unternehmens gemäß dieser Richtlinie sicher handhaben und verwalten.</w:t>
            </w:r>
          </w:p>
          <w:p w14:paraId="38611FE6" w14:textId="77777777" w:rsidR="00294066" w:rsidRPr="0071635A" w:rsidRDefault="00375155">
            <w:pPr>
              <w:pStyle w:val="ListBullet"/>
              <w:spacing w:after="40"/>
            </w:pPr>
            <w:r w:rsidRPr="0071635A">
              <w:rPr>
                <w:sz w:val="19"/>
              </w:rPr>
              <w:t>Sicherheitspraktiken und Leitlinien einhalten, um unbefugten Zugriff oder Missbrauch von IT-Assets zu verhindern.</w:t>
            </w:r>
          </w:p>
          <w:p w14:paraId="01118B1B" w14:textId="77777777" w:rsidR="00294066" w:rsidRPr="0071635A" w:rsidRDefault="00375155">
            <w:pPr>
              <w:pStyle w:val="ListBullet"/>
              <w:spacing w:after="40"/>
            </w:pPr>
            <w:r w:rsidRPr="0071635A">
              <w:rPr>
                <w:sz w:val="19"/>
              </w:rPr>
              <w:t>Vorfälle im Zusammenhang mit Asset-Verlust, Beschädigung oder Sicherheitsvorfällen unverzüglich melden.</w:t>
            </w:r>
          </w:p>
          <w:p w14:paraId="19124867" w14:textId="77777777" w:rsidR="00294066" w:rsidRPr="0071635A" w:rsidRDefault="00375155">
            <w:pPr>
              <w:pStyle w:val="ListBullet"/>
              <w:spacing w:after="40"/>
            </w:pPr>
            <w:r w:rsidRPr="0071635A">
              <w:rPr>
                <w:sz w:val="19"/>
              </w:rPr>
              <w:t>Sicherstellen, dass IT-Assets bei Beendigung der Nutzung oder des Beschäftigungsverhältnisses ordnungsgemäß zurückgegeben werden.</w:t>
            </w:r>
          </w:p>
        </w:tc>
      </w:tr>
    </w:tbl>
    <w:p w14:paraId="227DFD66" w14:textId="77777777" w:rsidR="00E157A5" w:rsidRDefault="00E157A5">
      <w:pPr>
        <w:pStyle w:val="Heading2"/>
        <w:rPr>
          <w:rFonts w:ascii="Aptos Display" w:eastAsia="Aptos Display" w:hAnsi="Aptos Display"/>
          <w:color w:val="auto"/>
        </w:rPr>
      </w:pPr>
    </w:p>
    <w:p w14:paraId="1F695D0B" w14:textId="77777777" w:rsidR="00E157A5" w:rsidRDefault="00E157A5" w:rsidP="00E157A5"/>
    <w:p w14:paraId="6BF333D1" w14:textId="77777777" w:rsidR="00E157A5" w:rsidRPr="00E157A5" w:rsidRDefault="00E157A5" w:rsidP="00E157A5"/>
    <w:p w14:paraId="09BC3BEF" w14:textId="2D212211" w:rsidR="00294066" w:rsidRDefault="00E157A5">
      <w:pPr>
        <w:pStyle w:val="Heading2"/>
        <w:rPr>
          <w:rFonts w:ascii="Aptos Display" w:eastAsia="Aptos Display" w:hAnsi="Aptos Display"/>
          <w:color w:val="auto"/>
        </w:rPr>
      </w:pPr>
      <w:bookmarkStart w:id="5" w:name="_Toc239175246"/>
      <w:r>
        <w:rPr>
          <w:rFonts w:ascii="Aptos Display" w:eastAsia="Aptos Display" w:hAnsi="Aptos Display"/>
          <w:color w:val="auto"/>
        </w:rPr>
        <w:lastRenderedPageBreak/>
        <w:t xml:space="preserve">6. </w:t>
      </w:r>
      <w:r w:rsidR="00375155" w:rsidRPr="0071635A">
        <w:rPr>
          <w:rFonts w:ascii="Aptos Display" w:eastAsia="Aptos Display" w:hAnsi="Aptos Display"/>
          <w:color w:val="auto"/>
        </w:rPr>
        <w:t>Struktur des IT-Asset-Inventars</w:t>
      </w:r>
      <w:bookmarkEnd w:id="5"/>
    </w:p>
    <w:p w14:paraId="7871D2F4" w14:textId="77777777" w:rsidR="00E157A5" w:rsidRPr="00E157A5" w:rsidRDefault="00E157A5" w:rsidP="00E157A5"/>
    <w:p w14:paraId="15540297" w14:textId="77777777" w:rsidR="00294066" w:rsidRPr="0071635A" w:rsidRDefault="00375155">
      <w:pPr>
        <w:spacing w:after="120" w:line="259" w:lineRule="auto"/>
      </w:pPr>
      <w:r w:rsidRPr="0071635A">
        <w:t xml:space="preserve">Das IT-Asset-Inventar von </w:t>
      </w:r>
      <w:r w:rsidRPr="0071635A">
        <w:rPr>
          <w:highlight w:val="yellow"/>
        </w:rPr>
        <w:t>[UNTERNEHMENSNAME]</w:t>
      </w:r>
      <w:r w:rsidRPr="0071635A">
        <w:t xml:space="preserve"> ist ein geordnetes Verzeichnis aller verwalteten Assets, das auf einfachen Zugriff und effiziente Informationsabfrage ausgelegt ist. Das Inventar muss mit den folgenden Angaben strukturiert sein:</w:t>
      </w:r>
    </w:p>
    <w:p w14:paraId="52F40843" w14:textId="77777777" w:rsidR="00294066" w:rsidRPr="0071635A" w:rsidRDefault="00375155">
      <w:pPr>
        <w:pStyle w:val="ListBullet"/>
        <w:spacing w:after="60"/>
      </w:pPr>
      <w:r w:rsidRPr="0071635A">
        <w:rPr>
          <w:b/>
        </w:rPr>
        <w:t>Hardware:</w:t>
      </w:r>
      <w:r w:rsidRPr="0071635A">
        <w:t xml:space="preserve"> Standort des Assets, Typ, eindeutige Kennung, verarbeitete Daten, Kritikalität, Geschäftsfunktion und Eigentümer/Verantwortliche/r. Diese Informationen sind beim Onboarding des Assets aufzunehmen; Änderungen der Asset-Verantwortung sind unverzüglich im Asset-Inventar abzubilden.</w:t>
      </w:r>
    </w:p>
    <w:p w14:paraId="76EDCF06" w14:textId="77777777" w:rsidR="00294066" w:rsidRPr="0071635A" w:rsidRDefault="00375155">
      <w:pPr>
        <w:pStyle w:val="ListBullet"/>
        <w:spacing w:after="60"/>
      </w:pPr>
      <w:r w:rsidRPr="0071635A">
        <w:rPr>
          <w:b/>
        </w:rPr>
        <w:t>Software:</w:t>
      </w:r>
      <w:r w:rsidRPr="0071635A">
        <w:t xml:space="preserve"> Name, Version, Hersteller, verarbeitete Daten, Kritikalität, Geschäftsfunktion, Eigentümer/Verantwortliche/r, Patch-Status, Herausgeber, Installationsdatum, Ablaufdatum und Ende des Supports. Diese Informationen sind beim Onboarding des Assets aufzunehmen; Änderungen der Asset-Verantwortung sind unverzüglich im Asset-Inventar abzubilden.</w:t>
      </w:r>
    </w:p>
    <w:p w14:paraId="1C2C0D79" w14:textId="77777777" w:rsidR="00294066" w:rsidRPr="0071635A" w:rsidRDefault="00375155">
      <w:pPr>
        <w:pStyle w:val="ListBullet"/>
        <w:spacing w:after="60"/>
      </w:pPr>
      <w:r w:rsidRPr="0071635A">
        <w:rPr>
          <w:b/>
        </w:rPr>
        <w:t>Assets von Dritten/Anbietern:</w:t>
      </w:r>
      <w:r w:rsidRPr="0071635A">
        <w:t xml:space="preserve"> Nicht verwaltete IT-Assets müssen erfasst und, sofern möglich, getrennt von Unternehmensressourcen segmentiert werden. Das </w:t>
      </w:r>
      <w:r w:rsidRPr="0071635A">
        <w:rPr>
          <w:highlight w:val="yellow"/>
        </w:rPr>
        <w:t>[ZUSTÄNDIGE TEAM/DIE ZUSTÄNDIGE ABTEILUNG]</w:t>
      </w:r>
      <w:r w:rsidRPr="0071635A">
        <w:t xml:space="preserve"> arbeitet mit Asset-Verantwortlichen zusammen, um die zeitnahe Anwendung von Patches und Fehlerbehebungen sicherzustellen, organisatorische Risiken zu reduzieren und die Einhaltung von Sicherheitsstandards aufrechtzuerhalten.</w:t>
      </w:r>
    </w:p>
    <w:p w14:paraId="610D8AD6" w14:textId="65036E12" w:rsidR="00294066" w:rsidRPr="0071635A" w:rsidRDefault="00E157A5">
      <w:pPr>
        <w:pStyle w:val="Heading3"/>
        <w:rPr>
          <w:color w:val="auto"/>
        </w:rPr>
      </w:pPr>
      <w:bookmarkStart w:id="6" w:name="_Toc239175247"/>
      <w:r>
        <w:rPr>
          <w:rFonts w:ascii="Aptos Display" w:eastAsia="Aptos Display" w:hAnsi="Aptos Display"/>
          <w:color w:val="auto"/>
        </w:rPr>
        <w:t xml:space="preserve">6.1 </w:t>
      </w:r>
      <w:r w:rsidR="00375155" w:rsidRPr="0071635A">
        <w:rPr>
          <w:rFonts w:ascii="Aptos Display" w:eastAsia="Aptos Display" w:hAnsi="Aptos Display"/>
          <w:color w:val="auto"/>
        </w:rPr>
        <w:t>Asset-Klassifizierung</w:t>
      </w:r>
      <w:bookmarkEnd w:id="6"/>
    </w:p>
    <w:p w14:paraId="5F941034" w14:textId="77777777" w:rsidR="00294066" w:rsidRPr="0071635A" w:rsidRDefault="00375155">
      <w:pPr>
        <w:spacing w:after="120" w:line="259" w:lineRule="auto"/>
      </w:pPr>
      <w:r w:rsidRPr="0071635A">
        <w:t>Jedes Asset im Inventar muss anhand seiner Kritikalität kategorisiert werden. Dabei sind verschiedene Klassifizierungskriterien zu berücksichtigen, einschließlich, jedoch nicht beschränkt auf:</w:t>
      </w:r>
    </w:p>
    <w:p w14:paraId="4E3E7A46" w14:textId="77777777" w:rsidR="00294066" w:rsidRPr="0071635A" w:rsidRDefault="00375155" w:rsidP="00E157A5">
      <w:pPr>
        <w:pStyle w:val="ListBullet"/>
        <w:numPr>
          <w:ilvl w:val="0"/>
          <w:numId w:val="10"/>
        </w:numPr>
        <w:spacing w:after="60"/>
      </w:pPr>
      <w:r w:rsidRPr="0071635A">
        <w:rPr>
          <w:b/>
        </w:rPr>
        <w:t>Vertraulichkeitsbewertung:</w:t>
      </w:r>
      <w:r w:rsidRPr="0071635A">
        <w:t xml:space="preserve"> Grad der Sensitivität der Informationen, die das Asset enthält, ausgerichtet an der Richtlinie zur Datenklassifizierung.</w:t>
      </w:r>
    </w:p>
    <w:p w14:paraId="4DE5B209" w14:textId="77777777" w:rsidR="00294066" w:rsidRPr="0071635A" w:rsidRDefault="00375155" w:rsidP="00E157A5">
      <w:pPr>
        <w:pStyle w:val="ListBullet"/>
        <w:numPr>
          <w:ilvl w:val="0"/>
          <w:numId w:val="10"/>
        </w:numPr>
        <w:spacing w:after="60"/>
      </w:pPr>
      <w:r w:rsidRPr="0071635A">
        <w:rPr>
          <w:b/>
        </w:rPr>
        <w:t>Integritätsbewertung:</w:t>
      </w:r>
      <w:r w:rsidRPr="0071635A">
        <w:t xml:space="preserve"> Bedeutung der Aufrechterhaltung der Genauigkeit und Zuverlässigkeit des Assets.</w:t>
      </w:r>
    </w:p>
    <w:p w14:paraId="7FEBDE9B" w14:textId="77777777" w:rsidR="00294066" w:rsidRPr="0071635A" w:rsidRDefault="00375155" w:rsidP="00E157A5">
      <w:pPr>
        <w:pStyle w:val="ListBullet"/>
        <w:numPr>
          <w:ilvl w:val="0"/>
          <w:numId w:val="10"/>
        </w:numPr>
        <w:spacing w:after="60"/>
      </w:pPr>
      <w:r w:rsidRPr="0071635A">
        <w:rPr>
          <w:b/>
        </w:rPr>
        <w:t>Verfügbarkeitsbewertung:</w:t>
      </w:r>
      <w:r w:rsidRPr="0071635A">
        <w:t xml:space="preserve"> Erforderlichkeit, dass das Asset bei Bedarf zugänglich ist.</w:t>
      </w:r>
    </w:p>
    <w:p w14:paraId="16C7CA43" w14:textId="77777777" w:rsidR="00294066" w:rsidRPr="0071635A" w:rsidRDefault="00375155" w:rsidP="00E157A5">
      <w:pPr>
        <w:pStyle w:val="ListBullet"/>
        <w:numPr>
          <w:ilvl w:val="0"/>
          <w:numId w:val="10"/>
        </w:numPr>
        <w:spacing w:after="60"/>
      </w:pPr>
      <w:r w:rsidRPr="0071635A">
        <w:rPr>
          <w:b/>
        </w:rPr>
        <w:t>Vorhandensein personenbezogener identifizierbarer Informationen (PII):</w:t>
      </w:r>
      <w:r w:rsidRPr="0071635A">
        <w:t xml:space="preserve"> Ob das Asset PII enthält und daher zusätzliche Compliance- und Schutzmaßnahmen erforderlich sind.</w:t>
      </w:r>
    </w:p>
    <w:p w14:paraId="09A719D3" w14:textId="77777777" w:rsidR="00294066" w:rsidRPr="0071635A" w:rsidRDefault="00375155" w:rsidP="00E157A5">
      <w:pPr>
        <w:pStyle w:val="ListBullet"/>
        <w:numPr>
          <w:ilvl w:val="0"/>
          <w:numId w:val="10"/>
        </w:numPr>
        <w:spacing w:after="60"/>
      </w:pPr>
      <w:r w:rsidRPr="0071635A">
        <w:rPr>
          <w:b/>
        </w:rPr>
        <w:t>Betriebliche Auswirkungen:</w:t>
      </w:r>
      <w:r w:rsidRPr="0071635A">
        <w:t xml:space="preserve"> Auswirkungen auf den Geschäftsbetrieb, wenn das Asset kompromittiert, nicht verfügbar oder beeinträchtigt ist.</w:t>
      </w:r>
    </w:p>
    <w:p w14:paraId="6A9670F1" w14:textId="77777777" w:rsidR="00294066" w:rsidRPr="0071635A" w:rsidRDefault="00375155" w:rsidP="00E157A5">
      <w:pPr>
        <w:pStyle w:val="ListBullet"/>
        <w:numPr>
          <w:ilvl w:val="0"/>
          <w:numId w:val="10"/>
        </w:numPr>
        <w:spacing w:after="60"/>
      </w:pPr>
      <w:r w:rsidRPr="0071635A">
        <w:rPr>
          <w:b/>
        </w:rPr>
        <w:t>Compliance-Anforderungen:</w:t>
      </w:r>
      <w:r w:rsidRPr="0071635A">
        <w:t xml:space="preserve"> Gesetzliche, regulatorische und branchenspezifische Standards, die für das Asset gelten, um die Einhaltung erforderlicher Verpflichtungen sicherzustellen.</w:t>
      </w:r>
    </w:p>
    <w:p w14:paraId="2877BDB8" w14:textId="77777777" w:rsidR="00294066" w:rsidRPr="0071635A" w:rsidRDefault="00375155">
      <w:pPr>
        <w:pStyle w:val="ListBullet"/>
        <w:spacing w:after="60"/>
      </w:pPr>
      <w:r w:rsidRPr="0071635A">
        <w:t>Das Asset-Inventar und seine Klassifizierungsbewertung müssen jährlich gemeinsam mit den Asset-Verantwortlichen gründlich überprüft werden, um Genauigkeit und Relevanz sicherzustellen. Zusätzliche Überprüfungen können durch wesentliche Änderungen der organisatorischen Abläufe, technologische Entwicklungen oder als Reaktion auf Sicherheitsvorfälle ausgelöst werden.</w:t>
      </w:r>
    </w:p>
    <w:p w14:paraId="14B61277" w14:textId="77777777" w:rsidR="00294066" w:rsidRPr="0071635A" w:rsidRDefault="00375155">
      <w:pPr>
        <w:pStyle w:val="ListBullet"/>
        <w:spacing w:after="60"/>
      </w:pPr>
      <w:r w:rsidRPr="0071635A">
        <w:t>Asset-Verantwortliche und relevante Stakeholder sind für die fortlaufende Pflege und zeitnahe Aktualisierung der Asset-Informationen verantwortlich. Sie müssen zusammenarbeiten, um sicherzustellen, dass das Asset-Inventar den aktuellen Zustand aller organisatorischen Assets widerspiegelt.</w:t>
      </w:r>
    </w:p>
    <w:p w14:paraId="27EF11CF" w14:textId="77777777" w:rsidR="00294066" w:rsidRPr="0071635A" w:rsidRDefault="00375155">
      <w:pPr>
        <w:pStyle w:val="ListBullet"/>
        <w:spacing w:after="60"/>
      </w:pPr>
      <w:r w:rsidRPr="0071635A">
        <w:t>Der Rahmen für die Asset-Klassifizierung muss mit anderen Richtlinien zur Informationssicherheit und zum Risikomanagement integriert werden, um kohärente Abläufe sicherzustellen.</w:t>
      </w:r>
    </w:p>
    <w:p w14:paraId="198AFCFB" w14:textId="361587A7" w:rsidR="00294066" w:rsidRDefault="00363792">
      <w:pPr>
        <w:pStyle w:val="Heading2"/>
        <w:rPr>
          <w:rFonts w:ascii="Aptos Display" w:eastAsia="Aptos Display" w:hAnsi="Aptos Display"/>
          <w:color w:val="auto"/>
        </w:rPr>
      </w:pPr>
      <w:bookmarkStart w:id="7" w:name="_Toc239175248"/>
      <w:r>
        <w:rPr>
          <w:rFonts w:ascii="Aptos Display" w:eastAsia="Aptos Display" w:hAnsi="Aptos Display"/>
          <w:color w:val="auto"/>
        </w:rPr>
        <w:lastRenderedPageBreak/>
        <w:t xml:space="preserve">7. </w:t>
      </w:r>
      <w:r w:rsidR="00375155" w:rsidRPr="0071635A">
        <w:rPr>
          <w:rFonts w:ascii="Aptos Display" w:eastAsia="Aptos Display" w:hAnsi="Aptos Display"/>
          <w:color w:val="auto"/>
        </w:rPr>
        <w:t>Management des Asset-Lebenszyklus</w:t>
      </w:r>
      <w:bookmarkEnd w:id="7"/>
    </w:p>
    <w:p w14:paraId="28C94D86" w14:textId="77777777" w:rsidR="00363792" w:rsidRPr="00363792" w:rsidRDefault="00363792" w:rsidP="00363792"/>
    <w:p w14:paraId="0417E74E" w14:textId="77777777" w:rsidR="00294066" w:rsidRPr="0071635A" w:rsidRDefault="00375155">
      <w:pPr>
        <w:spacing w:after="120" w:line="259" w:lineRule="auto"/>
      </w:pPr>
      <w:r w:rsidRPr="0071635A">
        <w:t xml:space="preserve">Das Management des Asset-Lebenszyklus unterstützt die strategische Überwachung von Assets von der Beschaffung über die aktive Nutzung und Wartung bis hin zur endgültigen Entsorgung. Dieser Ansatz stellt die Nutzung, Kosteneffizienz und Sicherheit der IT-Assets von </w:t>
      </w:r>
      <w:r w:rsidRPr="0071635A">
        <w:rPr>
          <w:highlight w:val="yellow"/>
        </w:rPr>
        <w:t>[UNTERNEHMENSNAME]</w:t>
      </w:r>
      <w:r w:rsidRPr="0071635A">
        <w:t xml:space="preserve"> über ihren gesamten Lebenszyklus hinweg sicher.</w:t>
      </w:r>
    </w:p>
    <w:p w14:paraId="24113EB4" w14:textId="77777777" w:rsidR="00294066" w:rsidRPr="0071635A" w:rsidRDefault="00375155">
      <w:pPr>
        <w:spacing w:before="60" w:after="40" w:line="259" w:lineRule="auto"/>
      </w:pPr>
      <w:r w:rsidRPr="0071635A">
        <w:rPr>
          <w:b/>
        </w:rPr>
        <w:t>Beschaffung</w:t>
      </w:r>
    </w:p>
    <w:p w14:paraId="449F4F0A" w14:textId="77777777" w:rsidR="00294066" w:rsidRPr="0071635A" w:rsidRDefault="00375155">
      <w:pPr>
        <w:pStyle w:val="ListBullet"/>
        <w:spacing w:after="60"/>
      </w:pPr>
      <w:r w:rsidRPr="0071635A">
        <w:t xml:space="preserve">Alle IT-Assets müssen über den genehmigten Beschaffungsprozess von </w:t>
      </w:r>
      <w:r w:rsidRPr="0071635A">
        <w:rPr>
          <w:highlight w:val="yellow"/>
        </w:rPr>
        <w:t>[UNTERNEHMENSNAME]</w:t>
      </w:r>
      <w:r w:rsidRPr="0071635A">
        <w:t xml:space="preserve"> beschafft werden, bevor sie zur wirksamen Nachverfolgung im IT-Asset-Inventar erfasst werden.</w:t>
      </w:r>
    </w:p>
    <w:p w14:paraId="2EA80FB2" w14:textId="77777777" w:rsidR="00294066" w:rsidRPr="0071635A" w:rsidRDefault="00375155">
      <w:pPr>
        <w:pStyle w:val="ListBullet"/>
        <w:spacing w:after="60"/>
      </w:pPr>
      <w:r w:rsidRPr="0071635A">
        <w:t>Alle IT-Assets müssen im Einklang mit anwendbaren Lizenzvereinbarungen überprüft und verwaltet werden.</w:t>
      </w:r>
    </w:p>
    <w:p w14:paraId="006EEA12" w14:textId="77777777" w:rsidR="00294066" w:rsidRPr="0071635A" w:rsidRDefault="00375155">
      <w:pPr>
        <w:pStyle w:val="ListBullet"/>
        <w:spacing w:after="60"/>
      </w:pPr>
      <w:r w:rsidRPr="0071635A">
        <w:t xml:space="preserve">Alle IT-Assets müssen entsprechend ihrer Sensitivität und ihres Werts gemäß den </w:t>
      </w:r>
      <w:r w:rsidRPr="0071635A">
        <w:rPr>
          <w:highlight w:val="yellow"/>
        </w:rPr>
        <w:t>[STANDARDS/VERFAHREN]</w:t>
      </w:r>
      <w:r w:rsidRPr="0071635A">
        <w:t xml:space="preserve"> von </w:t>
      </w:r>
      <w:r w:rsidRPr="0071635A">
        <w:rPr>
          <w:highlight w:val="yellow"/>
        </w:rPr>
        <w:t>[UNTERNEHMENSNAME]</w:t>
      </w:r>
      <w:r w:rsidRPr="0071635A">
        <w:t xml:space="preserve"> klassifiziert werden.</w:t>
      </w:r>
    </w:p>
    <w:p w14:paraId="3A16762D" w14:textId="77777777" w:rsidR="00294066" w:rsidRPr="0071635A" w:rsidRDefault="00375155">
      <w:pPr>
        <w:pStyle w:val="ListBullet"/>
        <w:spacing w:after="60"/>
      </w:pPr>
      <w:r w:rsidRPr="0071635A">
        <w:t>Klare Verträge und Vereinbarungen mit Drittanbietern müssen festgelegt werden, um Bedingungen, Gewährleistungen und Serviceerwartungen zu definieren, einschließlich Service Level Agreements (SLAs), sofern anwendbar.</w:t>
      </w:r>
    </w:p>
    <w:p w14:paraId="0AC07AB0" w14:textId="77777777" w:rsidR="00294066" w:rsidRPr="0071635A" w:rsidRDefault="00375155">
      <w:pPr>
        <w:pStyle w:val="ListBullet"/>
        <w:spacing w:after="60"/>
      </w:pPr>
      <w:r w:rsidRPr="0071635A">
        <w:t xml:space="preserve">Risikobewertungen müssen durch das </w:t>
      </w:r>
      <w:r w:rsidRPr="0071635A">
        <w:rPr>
          <w:highlight w:val="yellow"/>
        </w:rPr>
        <w:t>[ZUSTÄNDIGE TEAM/DIE ZUSTÄNDIGE ABTEILUNG]</w:t>
      </w:r>
      <w:r w:rsidRPr="0071635A">
        <w:t xml:space="preserve"> durchgeführt werden, um potenzielle Schwachstellen oder Lieferkettenrisiken im Zusammenhang mit neuen Beschaffungen zu bewerten.</w:t>
      </w:r>
    </w:p>
    <w:p w14:paraId="152F64D1" w14:textId="77777777" w:rsidR="00294066" w:rsidRPr="0071635A" w:rsidRDefault="00375155">
      <w:pPr>
        <w:pStyle w:val="ListBullet"/>
        <w:spacing w:after="60"/>
      </w:pPr>
      <w:r w:rsidRPr="0071635A">
        <w:t>Marktanalysen müssen durchgeführt werden, um Kosteneffizienzen zu nutzen und nachhaltige Beschaffungspraktiken zu fördern.</w:t>
      </w:r>
    </w:p>
    <w:p w14:paraId="563B6637" w14:textId="77777777" w:rsidR="00294066" w:rsidRPr="0071635A" w:rsidRDefault="00375155">
      <w:pPr>
        <w:spacing w:before="60" w:after="40" w:line="259" w:lineRule="auto"/>
      </w:pPr>
      <w:r w:rsidRPr="0071635A">
        <w:rPr>
          <w:b/>
        </w:rPr>
        <w:t>Bereitstellung</w:t>
      </w:r>
    </w:p>
    <w:p w14:paraId="3FCD1FFA" w14:textId="77777777" w:rsidR="00294066" w:rsidRPr="0071635A" w:rsidRDefault="00375155">
      <w:pPr>
        <w:pStyle w:val="ListBullet"/>
        <w:spacing w:after="60"/>
      </w:pPr>
      <w:r w:rsidRPr="0071635A">
        <w:t xml:space="preserve">Alle IT-Assets müssen gemäß dem Change-Management-Prozess von </w:t>
      </w:r>
      <w:r w:rsidRPr="0071635A">
        <w:rPr>
          <w:highlight w:val="yellow"/>
        </w:rPr>
        <w:t>[UNTERNEHMENSNAME]</w:t>
      </w:r>
      <w:r w:rsidRPr="0071635A">
        <w:t xml:space="preserve"> bereitgestellt werden, um Störungen zu minimieren.</w:t>
      </w:r>
    </w:p>
    <w:p w14:paraId="3B50850D" w14:textId="77777777" w:rsidR="00294066" w:rsidRPr="0071635A" w:rsidRDefault="00375155">
      <w:pPr>
        <w:pStyle w:val="ListBullet"/>
        <w:spacing w:after="60"/>
      </w:pPr>
      <w:r w:rsidRPr="0071635A">
        <w:t xml:space="preserve">Alle IT-Assets müssen vor der Bereitstellung durch das Change-Management-Gremium von </w:t>
      </w:r>
      <w:r w:rsidRPr="0071635A">
        <w:rPr>
          <w:highlight w:val="yellow"/>
        </w:rPr>
        <w:t>[UNTERNEHMENSNAME]</w:t>
      </w:r>
      <w:r w:rsidRPr="0071635A">
        <w:t xml:space="preserve"> getestet und genehmigt werden.</w:t>
      </w:r>
    </w:p>
    <w:p w14:paraId="1B0D054A" w14:textId="77777777" w:rsidR="00294066" w:rsidRPr="0071635A" w:rsidRDefault="00375155">
      <w:pPr>
        <w:pStyle w:val="ListBullet"/>
        <w:spacing w:after="60"/>
      </w:pPr>
      <w:r w:rsidRPr="0071635A">
        <w:t>Alle IT-Assets müssen unter Anwendung der geeigneten Installationsverfahren des Anbieters installiert werden.</w:t>
      </w:r>
    </w:p>
    <w:p w14:paraId="5D9098E2" w14:textId="77777777" w:rsidR="00294066" w:rsidRPr="0071635A" w:rsidRDefault="00375155">
      <w:pPr>
        <w:spacing w:before="60" w:after="40" w:line="259" w:lineRule="auto"/>
      </w:pPr>
      <w:r w:rsidRPr="0071635A">
        <w:rPr>
          <w:b/>
        </w:rPr>
        <w:t>Nutzung und Wartung</w:t>
      </w:r>
    </w:p>
    <w:p w14:paraId="0F460E5D" w14:textId="77777777" w:rsidR="00294066" w:rsidRPr="0071635A" w:rsidRDefault="00375155">
      <w:pPr>
        <w:pStyle w:val="ListBullet"/>
        <w:spacing w:after="60"/>
      </w:pPr>
      <w:r w:rsidRPr="0071635A">
        <w:t xml:space="preserve">Alle IT-Assets müssen entsprechend ihrer Klassifizierung gemäß dem Datenklassifizierungsstandard von </w:t>
      </w:r>
      <w:r w:rsidRPr="0071635A">
        <w:rPr>
          <w:highlight w:val="yellow"/>
        </w:rPr>
        <w:t>[UNTERNEHMENSNAME]</w:t>
      </w:r>
      <w:r w:rsidRPr="0071635A">
        <w:t xml:space="preserve"> behandelt werden.</w:t>
      </w:r>
    </w:p>
    <w:p w14:paraId="0DA1CDB8" w14:textId="77777777" w:rsidR="00294066" w:rsidRPr="0071635A" w:rsidRDefault="00375155">
      <w:pPr>
        <w:pStyle w:val="ListBullet"/>
        <w:spacing w:after="60"/>
      </w:pPr>
      <w:r w:rsidRPr="0071635A">
        <w:t xml:space="preserve">Alle IT-Assets müssen regelmäßig auf Schwachstellen und Bedrohungen risikobewertet und gemäß der Richtlinie für Schwachstellen- und Patch-Management von </w:t>
      </w:r>
      <w:r w:rsidRPr="0071635A">
        <w:rPr>
          <w:highlight w:val="yellow"/>
        </w:rPr>
        <w:t>[UNTERNEHMENSNAME]</w:t>
      </w:r>
      <w:r w:rsidRPr="0071635A">
        <w:t xml:space="preserve"> mit den neuesten Sicherheits-Patches aktualisiert werden.</w:t>
      </w:r>
    </w:p>
    <w:p w14:paraId="135DCDB5" w14:textId="77777777" w:rsidR="00294066" w:rsidRPr="0071635A" w:rsidRDefault="00375155">
      <w:pPr>
        <w:pStyle w:val="ListBullet"/>
        <w:spacing w:after="60"/>
      </w:pPr>
      <w:r w:rsidRPr="0071635A">
        <w:t>Alle IT-Assets müssen überwacht und ihre Leistung zu Wartungszwecken dokumentiert werden.</w:t>
      </w:r>
    </w:p>
    <w:p w14:paraId="10A965A2" w14:textId="77777777" w:rsidR="00294066" w:rsidRPr="0071635A" w:rsidRDefault="00375155">
      <w:pPr>
        <w:pStyle w:val="ListBullet"/>
        <w:spacing w:after="60"/>
      </w:pPr>
      <w:r w:rsidRPr="0071635A">
        <w:t>Für alle IT-Assets müssen Aufzeichnungen über sämtliche Wartungsaktivitäten einschließlich Datum und durchgeführter Maßnahmen dokumentiert werden.</w:t>
      </w:r>
    </w:p>
    <w:p w14:paraId="4DACB943" w14:textId="77777777" w:rsidR="00294066" w:rsidRPr="0071635A" w:rsidRDefault="00375155">
      <w:pPr>
        <w:pStyle w:val="ListBullet"/>
        <w:spacing w:after="60"/>
      </w:pPr>
      <w:r w:rsidRPr="0071635A">
        <w:t>Ein etabliertes Supportsystem muss vorhanden sein, damit Nutzer Asset-Probleme melden und zeitnah Unterstützung erhalten können.</w:t>
      </w:r>
    </w:p>
    <w:p w14:paraId="764C2F21" w14:textId="77777777" w:rsidR="00294066" w:rsidRDefault="00375155">
      <w:pPr>
        <w:pStyle w:val="ListBullet"/>
        <w:spacing w:after="60"/>
      </w:pPr>
      <w:r w:rsidRPr="0071635A">
        <w:t xml:space="preserve">Alle Mitarbeitenden von </w:t>
      </w:r>
      <w:r w:rsidRPr="0071635A">
        <w:rPr>
          <w:highlight w:val="yellow"/>
        </w:rPr>
        <w:t>[UNTERNEHMENSNAME]</w:t>
      </w:r>
      <w:r w:rsidRPr="0071635A">
        <w:t xml:space="preserve"> und Dritte müssen Unternehmens-Assets bei Änderung oder Beendigung des Beschäftigungsverhältnisses bzw. Vertragsverhältnisses zurückgeben.</w:t>
      </w:r>
    </w:p>
    <w:p w14:paraId="0D58441E" w14:textId="77777777" w:rsidR="00F133DE" w:rsidRDefault="00F133DE" w:rsidP="00F133DE">
      <w:pPr>
        <w:pStyle w:val="ListBullet"/>
        <w:numPr>
          <w:ilvl w:val="0"/>
          <w:numId w:val="0"/>
        </w:numPr>
        <w:spacing w:after="60"/>
        <w:ind w:left="360" w:hanging="360"/>
      </w:pPr>
    </w:p>
    <w:p w14:paraId="78AC9D9D" w14:textId="77777777" w:rsidR="00F133DE" w:rsidRDefault="00F133DE" w:rsidP="00F133DE">
      <w:pPr>
        <w:pStyle w:val="ListBullet"/>
        <w:numPr>
          <w:ilvl w:val="0"/>
          <w:numId w:val="0"/>
        </w:numPr>
        <w:spacing w:after="60"/>
        <w:ind w:left="360" w:hanging="360"/>
      </w:pPr>
    </w:p>
    <w:p w14:paraId="34C71211" w14:textId="77777777" w:rsidR="00F133DE" w:rsidRPr="0071635A" w:rsidRDefault="00F133DE" w:rsidP="00F133DE">
      <w:pPr>
        <w:pStyle w:val="ListBullet"/>
        <w:numPr>
          <w:ilvl w:val="0"/>
          <w:numId w:val="0"/>
        </w:numPr>
        <w:spacing w:after="60"/>
        <w:ind w:left="360" w:hanging="360"/>
      </w:pPr>
    </w:p>
    <w:p w14:paraId="63B9057D" w14:textId="77777777" w:rsidR="00294066" w:rsidRPr="0071635A" w:rsidRDefault="00375155">
      <w:pPr>
        <w:spacing w:before="60" w:after="40" w:line="259" w:lineRule="auto"/>
      </w:pPr>
      <w:r w:rsidRPr="0071635A">
        <w:rPr>
          <w:b/>
        </w:rPr>
        <w:lastRenderedPageBreak/>
        <w:t>Sichere Entsorgung</w:t>
      </w:r>
    </w:p>
    <w:p w14:paraId="4C147A08" w14:textId="77777777" w:rsidR="00294066" w:rsidRPr="0071635A" w:rsidRDefault="00375155">
      <w:pPr>
        <w:pStyle w:val="ListBullet"/>
        <w:spacing w:after="60"/>
      </w:pPr>
      <w:r w:rsidRPr="0071635A">
        <w:rPr>
          <w:highlight w:val="yellow"/>
        </w:rPr>
        <w:t>[UNTERNEHMENSNAME]</w:t>
      </w:r>
      <w:r w:rsidRPr="0071635A">
        <w:t xml:space="preserve"> muss Grundsätze zur sicheren Entsorgung von IT-Assets einhalten, um die Wiederherstellung oder Rekonstruktion von Daten zu verhindern.</w:t>
      </w:r>
    </w:p>
    <w:p w14:paraId="489A54C8" w14:textId="77777777" w:rsidR="00294066" w:rsidRPr="0071635A" w:rsidRDefault="00375155">
      <w:pPr>
        <w:pStyle w:val="ListBullet"/>
        <w:spacing w:after="60"/>
      </w:pPr>
      <w:r w:rsidRPr="0071635A">
        <w:t xml:space="preserve">Alle IT-Assets, die sensible Informationen enthalten, müssen entsprechend ihrem Sensitivitätsgrad gemäß dem Datenklassifizierungsstandard von </w:t>
      </w:r>
      <w:r w:rsidRPr="0071635A">
        <w:rPr>
          <w:highlight w:val="yellow"/>
        </w:rPr>
        <w:t>[UNTERNEHMENSNAME]</w:t>
      </w:r>
      <w:r w:rsidRPr="0071635A">
        <w:t xml:space="preserve"> entsorgt werden.</w:t>
      </w:r>
    </w:p>
    <w:p w14:paraId="63B34842" w14:textId="77777777" w:rsidR="00294066" w:rsidRPr="0071635A" w:rsidRDefault="00375155">
      <w:pPr>
        <w:pStyle w:val="ListBullet"/>
        <w:spacing w:after="60"/>
      </w:pPr>
      <w:r w:rsidRPr="0071635A">
        <w:t>Alle IT-Assets dürfen nur so lange aufbewahrt werden, wie es zur Erfüllung der Unternehmensziele sowie gesetzlicher und regulatorischer Anforderungen erforderlich ist.</w:t>
      </w:r>
    </w:p>
    <w:p w14:paraId="6FE7F061" w14:textId="77777777" w:rsidR="00294066" w:rsidRPr="0071635A" w:rsidRDefault="00375155">
      <w:pPr>
        <w:pStyle w:val="ListBullet"/>
        <w:spacing w:after="60"/>
      </w:pPr>
      <w:r w:rsidRPr="0071635A">
        <w:rPr>
          <w:highlight w:val="yellow"/>
        </w:rPr>
        <w:t>[UNTERNEHMENSNAME]</w:t>
      </w:r>
      <w:r w:rsidRPr="0071635A">
        <w:t xml:space="preserve"> muss strenge Grundsätze zur sicheren Entsorgung von IT-Assets einhalten. Dazu gehört die Durchführung eines gründlichen Datenbereinigungsprozesses vor der Asset-Entsorgung, um sicherzustellen, dass Daten nach der Entsorgung nicht wiederhergestellt, rekonstruiert oder abgerufen werden können. Sofern erforderlich, kann </w:t>
      </w:r>
      <w:r w:rsidRPr="0071635A">
        <w:rPr>
          <w:highlight w:val="yellow"/>
        </w:rPr>
        <w:t>[UNTERNEHMENSNAME]</w:t>
      </w:r>
      <w:r w:rsidRPr="0071635A">
        <w:t xml:space="preserve"> einen vertrauenswürdigen Drittanbieter mit der Asset-Entsorgung beauftragen.</w:t>
      </w:r>
    </w:p>
    <w:p w14:paraId="2FFDA25D" w14:textId="77777777" w:rsidR="00294066" w:rsidRDefault="00375155">
      <w:pPr>
        <w:pStyle w:val="ListBullet"/>
        <w:spacing w:after="60"/>
      </w:pPr>
      <w:r w:rsidRPr="0071635A">
        <w:t>Aufzeichnungen über entsorgte Assets müssen geführt werden, einschließlich der Entsorgungsmethoden im Einklang mit geschäftlichen, gesetzlichen und regulatorischen Anforderungen.</w:t>
      </w:r>
    </w:p>
    <w:p w14:paraId="6FDEB029" w14:textId="77777777" w:rsidR="00363792" w:rsidRPr="0071635A" w:rsidRDefault="00363792" w:rsidP="00363792">
      <w:pPr>
        <w:pStyle w:val="ListBullet"/>
        <w:numPr>
          <w:ilvl w:val="0"/>
          <w:numId w:val="0"/>
        </w:numPr>
        <w:spacing w:after="60"/>
        <w:ind w:left="360"/>
      </w:pPr>
    </w:p>
    <w:p w14:paraId="304A9DA2" w14:textId="75180E63" w:rsidR="00294066" w:rsidRDefault="00363792">
      <w:pPr>
        <w:pStyle w:val="Heading2"/>
        <w:rPr>
          <w:rFonts w:ascii="Aptos Display" w:eastAsia="Aptos Display" w:hAnsi="Aptos Display"/>
          <w:color w:val="auto"/>
        </w:rPr>
      </w:pPr>
      <w:bookmarkStart w:id="8" w:name="_Toc239175249"/>
      <w:r>
        <w:rPr>
          <w:rFonts w:ascii="Aptos Display" w:eastAsia="Aptos Display" w:hAnsi="Aptos Display"/>
          <w:color w:val="auto"/>
        </w:rPr>
        <w:t xml:space="preserve">8. </w:t>
      </w:r>
      <w:r w:rsidR="00375155" w:rsidRPr="0071635A">
        <w:rPr>
          <w:rFonts w:ascii="Aptos Display" w:eastAsia="Aptos Display" w:hAnsi="Aptos Display"/>
          <w:color w:val="auto"/>
        </w:rPr>
        <w:t>Leitlinien für Wartung und Pflege</w:t>
      </w:r>
      <w:bookmarkEnd w:id="8"/>
    </w:p>
    <w:p w14:paraId="3A43FE55" w14:textId="77777777" w:rsidR="00363792" w:rsidRPr="00363792" w:rsidRDefault="00363792" w:rsidP="00363792"/>
    <w:p w14:paraId="398E0D25" w14:textId="77777777" w:rsidR="00294066" w:rsidRPr="0071635A" w:rsidRDefault="00375155">
      <w:pPr>
        <w:spacing w:after="120" w:line="259" w:lineRule="auto"/>
      </w:pPr>
      <w:r w:rsidRPr="0071635A">
        <w:t>Geeignete Prozesse müssen vorhanden sein, um sicherzustellen, dass das Inventar mindestens jährlich überprüft wird, damit es korrekt bleibt und Beschaffungen, Entsorgungen oder Änderungen widerspiegelt. Die folgenden Leitlinien bilden einen Rahmen für die Wartung und Verwaltung aller IT-Assets:</w:t>
      </w:r>
    </w:p>
    <w:p w14:paraId="199B0E40" w14:textId="77777777" w:rsidR="00294066" w:rsidRPr="0071635A" w:rsidRDefault="00375155">
      <w:pPr>
        <w:spacing w:before="60" w:after="40" w:line="259" w:lineRule="auto"/>
      </w:pPr>
      <w:r w:rsidRPr="0071635A">
        <w:rPr>
          <w:b/>
        </w:rPr>
        <w:t>Geplante Wartung</w:t>
      </w:r>
    </w:p>
    <w:p w14:paraId="6C7E5D80" w14:textId="77777777" w:rsidR="00294066" w:rsidRPr="0071635A" w:rsidRDefault="00375155">
      <w:pPr>
        <w:pStyle w:val="ListBullet"/>
        <w:spacing w:after="60"/>
      </w:pPr>
      <w:r w:rsidRPr="0071635A">
        <w:t>Wartungspläne für alle IT-Assets erstellen, um unerwarteten Ausfällen proaktiv vorzubeugen.</w:t>
      </w:r>
    </w:p>
    <w:p w14:paraId="46D5F6CE" w14:textId="77777777" w:rsidR="00294066" w:rsidRPr="0071635A" w:rsidRDefault="00375155">
      <w:pPr>
        <w:pStyle w:val="ListBullet"/>
        <w:spacing w:after="60"/>
      </w:pPr>
      <w:r w:rsidRPr="0071635A">
        <w:t xml:space="preserve">Serviceverträge und Wartungsvereinbarungen mit Anbietern nutzen, um Wartungsbedarfe abzudecken. Bei der Beauftragung von Wartungsleistungen durch Dritte sind Anbieter anhand ihrer Fachkompetenz und Zuverlässigkeit zu bewerten und auszuwählen. Der Support durch Dritte ist gemäß der </w:t>
      </w:r>
      <w:r w:rsidRPr="0071635A">
        <w:rPr>
          <w:highlight w:val="yellow"/>
        </w:rPr>
        <w:t>[RICHTLINIENBEZEICHNUNG]</w:t>
      </w:r>
      <w:r w:rsidRPr="0071635A">
        <w:t xml:space="preserve"> von </w:t>
      </w:r>
      <w:r w:rsidRPr="0071635A">
        <w:rPr>
          <w:highlight w:val="yellow"/>
        </w:rPr>
        <w:t>[UNTERNEHMENSNAME]</w:t>
      </w:r>
      <w:r w:rsidRPr="0071635A">
        <w:t xml:space="preserve"> zu steuern.</w:t>
      </w:r>
    </w:p>
    <w:p w14:paraId="196A07B1" w14:textId="77777777" w:rsidR="00294066" w:rsidRPr="0071635A" w:rsidRDefault="00375155">
      <w:pPr>
        <w:spacing w:before="60" w:after="40" w:line="259" w:lineRule="auto"/>
      </w:pPr>
      <w:r w:rsidRPr="0071635A">
        <w:rPr>
          <w:b/>
        </w:rPr>
        <w:t>Berichterstattung und Dokumentation</w:t>
      </w:r>
    </w:p>
    <w:p w14:paraId="13B5D663" w14:textId="77777777" w:rsidR="00294066" w:rsidRPr="0071635A" w:rsidRDefault="00375155">
      <w:pPr>
        <w:pStyle w:val="ListBullet"/>
        <w:spacing w:after="60"/>
      </w:pPr>
      <w:r w:rsidRPr="0071635A">
        <w:t>Alle Wartungsaktivitäten im IT-Asset-Inventar erfassen, einschließlich Datum, Art der Wartung, beteiligter Techniker und zugehöriger Kosten.</w:t>
      </w:r>
    </w:p>
    <w:p w14:paraId="41EE5993" w14:textId="77777777" w:rsidR="00294066" w:rsidRPr="0071635A" w:rsidRDefault="00375155">
      <w:pPr>
        <w:pStyle w:val="ListBullet"/>
        <w:spacing w:after="60"/>
      </w:pPr>
      <w:r w:rsidRPr="0071635A">
        <w:t>Wartungsberichte erstellen, um die Nutzung von IT-Assets zu bewerten, Wartungsaktivitäten nachzuverfolgen und die Einhaltung von Wartungsanforderungen zu beurteilen.</w:t>
      </w:r>
    </w:p>
    <w:p w14:paraId="6FEF2C6C" w14:textId="77777777" w:rsidR="00294066" w:rsidRPr="0071635A" w:rsidRDefault="00375155">
      <w:pPr>
        <w:spacing w:before="60" w:after="40" w:line="259" w:lineRule="auto"/>
      </w:pPr>
      <w:r w:rsidRPr="0071635A">
        <w:rPr>
          <w:b/>
        </w:rPr>
        <w:t>Audit und Verifizierung</w:t>
      </w:r>
    </w:p>
    <w:p w14:paraId="45882B23" w14:textId="77777777" w:rsidR="00294066" w:rsidRPr="0071635A" w:rsidRDefault="00375155">
      <w:pPr>
        <w:pStyle w:val="ListBullet"/>
        <w:spacing w:after="60"/>
      </w:pPr>
      <w:r w:rsidRPr="0071635A">
        <w:t>Jährliche physische Audits und Asset-Abgleiche durchführen, um die Zuverlässigkeit und Integrität der Inventardaten sicherzustellen.</w:t>
      </w:r>
    </w:p>
    <w:p w14:paraId="13EBB9F4" w14:textId="77777777" w:rsidR="00294066" w:rsidRPr="0071635A" w:rsidRDefault="00375155">
      <w:pPr>
        <w:pStyle w:val="ListBullet"/>
        <w:spacing w:after="60"/>
      </w:pPr>
      <w:r w:rsidRPr="0071635A">
        <w:t>Diese Audits müssen die Genauigkeit der Einträge verifizieren, Abweichungen identifizieren und die Einhaltung von Lizenzvereinbarungen sicherstellen.</w:t>
      </w:r>
    </w:p>
    <w:p w14:paraId="5549901E" w14:textId="77777777" w:rsidR="00294066" w:rsidRPr="0071635A" w:rsidRDefault="00375155">
      <w:pPr>
        <w:spacing w:before="60" w:after="40" w:line="259" w:lineRule="auto"/>
      </w:pPr>
      <w:r w:rsidRPr="0071635A">
        <w:rPr>
          <w:b/>
        </w:rPr>
        <w:t>Kontinuierliche Verbesserung</w:t>
      </w:r>
    </w:p>
    <w:p w14:paraId="022ABDDF" w14:textId="77777777" w:rsidR="00294066" w:rsidRDefault="00375155">
      <w:pPr>
        <w:pStyle w:val="ListBullet"/>
        <w:spacing w:after="60"/>
      </w:pPr>
      <w:r w:rsidRPr="0071635A">
        <w:t xml:space="preserve">Feedback-Schleifen mit dem </w:t>
      </w:r>
      <w:r w:rsidRPr="0071635A">
        <w:rPr>
          <w:highlight w:val="yellow"/>
        </w:rPr>
        <w:t>[ZUSTÄNDIGEN TEAM/DER ZUSTÄNDIGEN ABTEILUNG]</w:t>
      </w:r>
      <w:r w:rsidRPr="0071635A">
        <w:t xml:space="preserve"> etablieren, um die Wirksamkeit der Wartungsaktivitäten regelmäßig zu bewerten und erforderliche Verbesserungen umzusetzen.</w:t>
      </w:r>
    </w:p>
    <w:p w14:paraId="35695BF4" w14:textId="77777777" w:rsidR="00363792" w:rsidRDefault="00363792" w:rsidP="00363792">
      <w:pPr>
        <w:pStyle w:val="ListBullet"/>
        <w:numPr>
          <w:ilvl w:val="0"/>
          <w:numId w:val="0"/>
        </w:numPr>
        <w:spacing w:after="60"/>
        <w:ind w:left="360" w:hanging="360"/>
      </w:pPr>
    </w:p>
    <w:p w14:paraId="3CB46E09" w14:textId="77777777" w:rsidR="00363792" w:rsidRPr="0071635A" w:rsidRDefault="00363792" w:rsidP="00363792">
      <w:pPr>
        <w:pStyle w:val="ListBullet"/>
        <w:numPr>
          <w:ilvl w:val="0"/>
          <w:numId w:val="0"/>
        </w:numPr>
        <w:spacing w:after="60"/>
        <w:ind w:left="360" w:hanging="360"/>
      </w:pPr>
    </w:p>
    <w:p w14:paraId="3CC2C7DD" w14:textId="51626A6D" w:rsidR="00294066" w:rsidRDefault="00363792">
      <w:pPr>
        <w:pStyle w:val="Heading2"/>
        <w:rPr>
          <w:rFonts w:ascii="Aptos Display" w:eastAsia="Aptos Display" w:hAnsi="Aptos Display"/>
          <w:color w:val="auto"/>
        </w:rPr>
      </w:pPr>
      <w:bookmarkStart w:id="9" w:name="_Toc239175250"/>
      <w:r>
        <w:rPr>
          <w:rFonts w:ascii="Aptos Display" w:eastAsia="Aptos Display" w:hAnsi="Aptos Display"/>
          <w:color w:val="auto"/>
        </w:rPr>
        <w:lastRenderedPageBreak/>
        <w:t xml:space="preserve">9. </w:t>
      </w:r>
      <w:r w:rsidR="00375155" w:rsidRPr="0071635A">
        <w:rPr>
          <w:rFonts w:ascii="Aptos Display" w:eastAsia="Aptos Display" w:hAnsi="Aptos Display"/>
          <w:color w:val="auto"/>
        </w:rPr>
        <w:t>Zulässige Nutzung</w:t>
      </w:r>
      <w:bookmarkEnd w:id="9"/>
    </w:p>
    <w:p w14:paraId="1E370CA0" w14:textId="77777777" w:rsidR="00363792" w:rsidRPr="00363792" w:rsidRDefault="00363792" w:rsidP="00363792"/>
    <w:p w14:paraId="177A3771" w14:textId="77777777" w:rsidR="00294066" w:rsidRPr="0071635A" w:rsidRDefault="00375155">
      <w:pPr>
        <w:spacing w:after="120" w:line="259" w:lineRule="auto"/>
      </w:pPr>
      <w:r w:rsidRPr="0071635A">
        <w:t xml:space="preserve">Mitarbeitende und Dritte, die IT-Assets von </w:t>
      </w:r>
      <w:r w:rsidRPr="0071635A">
        <w:rPr>
          <w:highlight w:val="yellow"/>
        </w:rPr>
        <w:t>[UNTERNEHMENSNAME]</w:t>
      </w:r>
      <w:r w:rsidRPr="0071635A">
        <w:t xml:space="preserve"> nutzen oder Zugriff darauf haben, müssen über die für diese Assets sowie die zugehörigen Einrichtungen und Ressourcen der Informationsverarbeitung geltenden Informationssicherheitsanforderungen informiert werden.</w:t>
      </w:r>
    </w:p>
    <w:p w14:paraId="46AD9F79" w14:textId="77777777" w:rsidR="00294066" w:rsidRDefault="00375155">
      <w:pPr>
        <w:spacing w:after="120" w:line="259" w:lineRule="auto"/>
      </w:pPr>
      <w:r w:rsidRPr="0071635A">
        <w:rPr>
          <w:highlight w:val="yellow"/>
        </w:rPr>
        <w:t>[UNTERNEHMENSNAME]</w:t>
      </w:r>
      <w:r w:rsidRPr="0071635A">
        <w:t xml:space="preserve"> verlangt, dass alle Mitarbeitenden und Dritten für ihre Nutzung von Informationsverarbeitungsressourcen verantwortlich sind, einschließlich aller Aktivitäten, die unter ihrer Aufsicht oder Verantwortung durchgeführt werden.</w:t>
      </w:r>
    </w:p>
    <w:p w14:paraId="7D18F86A" w14:textId="77777777" w:rsidR="00363792" w:rsidRPr="0071635A" w:rsidRDefault="00363792">
      <w:pPr>
        <w:spacing w:after="120" w:line="259" w:lineRule="auto"/>
      </w:pPr>
    </w:p>
    <w:p w14:paraId="0DCBD25B" w14:textId="48F03AF0" w:rsidR="00294066" w:rsidRDefault="00363792">
      <w:pPr>
        <w:pStyle w:val="Heading2"/>
        <w:rPr>
          <w:rFonts w:ascii="Aptos Display" w:eastAsia="Aptos Display" w:hAnsi="Aptos Display"/>
          <w:color w:val="auto"/>
        </w:rPr>
      </w:pPr>
      <w:bookmarkStart w:id="10" w:name="_Toc239175251"/>
      <w:r>
        <w:rPr>
          <w:rFonts w:ascii="Aptos Display" w:eastAsia="Aptos Display" w:hAnsi="Aptos Display"/>
          <w:color w:val="auto"/>
        </w:rPr>
        <w:t xml:space="preserve">10. </w:t>
      </w:r>
      <w:r w:rsidR="00375155" w:rsidRPr="0071635A">
        <w:rPr>
          <w:rFonts w:ascii="Aptos Display" w:eastAsia="Aptos Display" w:hAnsi="Aptos Display"/>
          <w:color w:val="auto"/>
        </w:rPr>
        <w:t>Ausnahme</w:t>
      </w:r>
      <w:bookmarkEnd w:id="10"/>
    </w:p>
    <w:p w14:paraId="2B4A322B" w14:textId="77777777" w:rsidR="00363792" w:rsidRPr="00363792" w:rsidRDefault="00363792" w:rsidP="00363792"/>
    <w:p w14:paraId="5F51A807" w14:textId="77777777" w:rsidR="00294066" w:rsidRPr="0071635A" w:rsidRDefault="00375155">
      <w:pPr>
        <w:spacing w:after="120" w:line="259" w:lineRule="auto"/>
      </w:pPr>
      <w:r w:rsidRPr="0071635A">
        <w:t xml:space="preserve">Ausnahmen von dieser Richtlinie werden im Einzelfall und nur mit schriftlicher Genehmigung durch die Führungsebene und IT gewährt. Dies sollte eine vollständige Prüfung durch das </w:t>
      </w:r>
      <w:r w:rsidRPr="0071635A">
        <w:rPr>
          <w:highlight w:val="yellow"/>
        </w:rPr>
        <w:t>[ZUSTÄNDIGE TEAM/DIE</w:t>
      </w:r>
      <w:r w:rsidRPr="0071635A">
        <w:t xml:space="preserve"> </w:t>
      </w:r>
      <w:r w:rsidRPr="0071635A">
        <w:rPr>
          <w:highlight w:val="yellow"/>
        </w:rPr>
        <w:t>ZUSTÄNDIGE ABTEILUNG]</w:t>
      </w:r>
      <w:r w:rsidRPr="0071635A">
        <w:t xml:space="preserve"> einschließen, um sicherzustellen, dass die vorgeschlagene Ausnahme den Risikomanagementprozess von </w:t>
      </w:r>
      <w:r w:rsidRPr="0071635A">
        <w:rPr>
          <w:highlight w:val="yellow"/>
        </w:rPr>
        <w:t>[UNTERNEHMENSNAME]</w:t>
      </w:r>
      <w:r w:rsidRPr="0071635A">
        <w:t xml:space="preserve"> durchläuft, damit damit verbundene Risiken wirksam identifiziert, bewertet und gemindert werden.</w:t>
      </w:r>
    </w:p>
    <w:p w14:paraId="5AA7EC82" w14:textId="77777777" w:rsidR="00294066" w:rsidRPr="0071635A" w:rsidRDefault="00375155">
      <w:pPr>
        <w:spacing w:after="120" w:line="259" w:lineRule="auto"/>
      </w:pPr>
      <w:r w:rsidRPr="0071635A">
        <w:t>Alle genehmigten Ausnahmen müssen dokumentiert werden, einschließlich der Gründe für die Genehmigung und etwaiger auferlegter Bedingungen. Ausnahmen unterliegen einer vierteljährlichen Überprüfung, um sicherzustellen, dass die Umstände, die zu ihrer Genehmigung geführt haben, weiterhin gültig sind und Risiken wirksam gesteuert werden.</w:t>
      </w:r>
    </w:p>
    <w:p w14:paraId="77291A81" w14:textId="77777777" w:rsidR="00294066" w:rsidRDefault="00375155">
      <w:pPr>
        <w:spacing w:after="120" w:line="259" w:lineRule="auto"/>
      </w:pPr>
      <w:r w:rsidRPr="0071635A">
        <w:t>Es liegt in der Verantwortung der Asset-Verantwortlichen, gemeinsam mit der IT sicherzustellen, dass ihr Asset konform ist und im Asset-Inventar katalogisiert wurde.</w:t>
      </w:r>
    </w:p>
    <w:p w14:paraId="5E7F97C8" w14:textId="77777777" w:rsidR="00363792" w:rsidRPr="0071635A" w:rsidRDefault="00363792">
      <w:pPr>
        <w:spacing w:after="120" w:line="259" w:lineRule="auto"/>
      </w:pPr>
    </w:p>
    <w:p w14:paraId="7EEABA8D" w14:textId="1B7B8668" w:rsidR="00294066" w:rsidRDefault="00363792">
      <w:pPr>
        <w:pStyle w:val="Heading2"/>
        <w:rPr>
          <w:rFonts w:ascii="Aptos Display" w:eastAsia="Aptos Display" w:hAnsi="Aptos Display"/>
          <w:color w:val="auto"/>
        </w:rPr>
      </w:pPr>
      <w:bookmarkStart w:id="11" w:name="_Toc239175252"/>
      <w:r>
        <w:rPr>
          <w:rFonts w:ascii="Aptos Display" w:eastAsia="Aptos Display" w:hAnsi="Aptos Display"/>
          <w:color w:val="auto"/>
        </w:rPr>
        <w:t xml:space="preserve">11. </w:t>
      </w:r>
      <w:r w:rsidR="00375155" w:rsidRPr="0071635A">
        <w:rPr>
          <w:rFonts w:ascii="Aptos Display" w:eastAsia="Aptos Display" w:hAnsi="Aptos Display"/>
          <w:color w:val="auto"/>
        </w:rPr>
        <w:t>Compliance</w:t>
      </w:r>
      <w:bookmarkEnd w:id="11"/>
    </w:p>
    <w:p w14:paraId="24B5C90B" w14:textId="77777777" w:rsidR="0086376B" w:rsidRPr="0086376B" w:rsidRDefault="0086376B" w:rsidP="0086376B"/>
    <w:p w14:paraId="0E039E73" w14:textId="77777777" w:rsidR="00294066" w:rsidRDefault="00375155">
      <w:pPr>
        <w:spacing w:after="120" w:line="259" w:lineRule="auto"/>
      </w:pPr>
      <w:r w:rsidRPr="0071635A">
        <w:t>Nichtkonformität mit dieser Richtlinie kann disziplinarische Maßnahmen nach sich ziehen. Alle Mitarbeitenden und Dritten müssen diese Richtlinie einhalten und alle Probleme oder Vorfälle im Zusammenhang mit dieser Richtlinie melden.</w:t>
      </w:r>
    </w:p>
    <w:p w14:paraId="652ED407" w14:textId="77777777" w:rsidR="00363792" w:rsidRDefault="00363792">
      <w:pPr>
        <w:spacing w:after="120" w:line="259" w:lineRule="auto"/>
      </w:pPr>
    </w:p>
    <w:p w14:paraId="668237A1" w14:textId="77777777" w:rsidR="00363792" w:rsidRDefault="00363792">
      <w:pPr>
        <w:spacing w:after="120" w:line="259" w:lineRule="auto"/>
      </w:pPr>
    </w:p>
    <w:p w14:paraId="7CE6AEC1" w14:textId="77777777" w:rsidR="00363792" w:rsidRDefault="00363792">
      <w:pPr>
        <w:spacing w:after="120" w:line="259" w:lineRule="auto"/>
      </w:pPr>
    </w:p>
    <w:p w14:paraId="7FBCF8D7" w14:textId="77777777" w:rsidR="00363792" w:rsidRDefault="00363792">
      <w:pPr>
        <w:spacing w:after="120" w:line="259" w:lineRule="auto"/>
      </w:pPr>
    </w:p>
    <w:p w14:paraId="3CF500D7" w14:textId="77777777" w:rsidR="00363792" w:rsidRDefault="00363792">
      <w:pPr>
        <w:spacing w:after="120" w:line="259" w:lineRule="auto"/>
      </w:pPr>
    </w:p>
    <w:p w14:paraId="7AD1A262" w14:textId="77777777" w:rsidR="00363792" w:rsidRDefault="00363792">
      <w:pPr>
        <w:spacing w:after="120" w:line="259" w:lineRule="auto"/>
      </w:pPr>
    </w:p>
    <w:p w14:paraId="6AD0986B" w14:textId="77777777" w:rsidR="00363792" w:rsidRDefault="00363792">
      <w:pPr>
        <w:spacing w:after="120" w:line="259" w:lineRule="auto"/>
      </w:pPr>
    </w:p>
    <w:p w14:paraId="5069AB63" w14:textId="77777777" w:rsidR="00363792" w:rsidRDefault="00363792">
      <w:pPr>
        <w:spacing w:after="120" w:line="259" w:lineRule="auto"/>
      </w:pPr>
    </w:p>
    <w:p w14:paraId="279D1ACC" w14:textId="77777777" w:rsidR="00363792" w:rsidRPr="0071635A" w:rsidRDefault="00363792">
      <w:pPr>
        <w:spacing w:after="120" w:line="259" w:lineRule="auto"/>
      </w:pPr>
    </w:p>
    <w:p w14:paraId="3BE2528E" w14:textId="77777777" w:rsidR="00294066" w:rsidRPr="0071635A" w:rsidRDefault="00375155">
      <w:pPr>
        <w:pStyle w:val="Heading2"/>
        <w:rPr>
          <w:color w:val="auto"/>
        </w:rPr>
      </w:pPr>
      <w:bookmarkStart w:id="12" w:name="_Toc239175253"/>
      <w:r w:rsidRPr="0071635A">
        <w:rPr>
          <w:rFonts w:ascii="Aptos Display" w:eastAsia="Aptos Display" w:hAnsi="Aptos Display"/>
          <w:color w:val="auto"/>
        </w:rPr>
        <w:lastRenderedPageBreak/>
        <w:t>Anhang: Definitionen</w:t>
      </w:r>
      <w:bookmarkEnd w:id="12"/>
    </w:p>
    <w:p w14:paraId="7485F4F0" w14:textId="77777777" w:rsidR="00294066" w:rsidRPr="0071635A" w:rsidRDefault="00375155">
      <w:pPr>
        <w:spacing w:after="120" w:line="259" w:lineRule="auto"/>
      </w:pPr>
      <w:r w:rsidRPr="0071635A">
        <w:t>Die folgenden Definitionen werden in diesem Dokument verwendet:</w:t>
      </w:r>
    </w:p>
    <w:tbl>
      <w:tblPr>
        <w:tblStyle w:val="TableGrid"/>
        <w:tblW w:w="10498" w:type="dxa"/>
        <w:jc w:val="center"/>
        <w:tblLook w:val="04A0" w:firstRow="1" w:lastRow="0" w:firstColumn="1" w:lastColumn="0" w:noHBand="0" w:noVBand="1"/>
      </w:tblPr>
      <w:tblGrid>
        <w:gridCol w:w="2962"/>
        <w:gridCol w:w="7536"/>
      </w:tblGrid>
      <w:tr w:rsidR="00294066" w:rsidRPr="0071635A" w14:paraId="066DA65B" w14:textId="77777777" w:rsidTr="00363792">
        <w:trPr>
          <w:trHeight w:val="258"/>
          <w:jc w:val="center"/>
        </w:trPr>
        <w:tc>
          <w:tcPr>
            <w:tcW w:w="2962" w:type="dxa"/>
            <w:shd w:val="clear" w:color="auto" w:fill="000000" w:themeFill="text1"/>
            <w:tcMar>
              <w:top w:w="90" w:type="dxa"/>
              <w:left w:w="90" w:type="dxa"/>
              <w:bottom w:w="90" w:type="dxa"/>
              <w:right w:w="90" w:type="dxa"/>
            </w:tcMar>
            <w:vAlign w:val="center"/>
          </w:tcPr>
          <w:p w14:paraId="521295D8" w14:textId="77777777" w:rsidR="00294066" w:rsidRPr="0071635A" w:rsidRDefault="00375155">
            <w:pPr>
              <w:spacing w:after="40"/>
            </w:pPr>
            <w:r w:rsidRPr="0071635A">
              <w:rPr>
                <w:b/>
                <w:color w:val="FFFFFF"/>
                <w:sz w:val="20"/>
              </w:rPr>
              <w:t>Begriff</w:t>
            </w:r>
          </w:p>
        </w:tc>
        <w:tc>
          <w:tcPr>
            <w:tcW w:w="7536" w:type="dxa"/>
            <w:shd w:val="clear" w:color="auto" w:fill="000000" w:themeFill="text1"/>
            <w:tcMar>
              <w:top w:w="90" w:type="dxa"/>
              <w:left w:w="90" w:type="dxa"/>
              <w:bottom w:w="90" w:type="dxa"/>
              <w:right w:w="90" w:type="dxa"/>
            </w:tcMar>
            <w:vAlign w:val="center"/>
          </w:tcPr>
          <w:p w14:paraId="2E0B66A5" w14:textId="77777777" w:rsidR="00294066" w:rsidRPr="0071635A" w:rsidRDefault="00375155">
            <w:pPr>
              <w:spacing w:after="40"/>
            </w:pPr>
            <w:r w:rsidRPr="0071635A">
              <w:rPr>
                <w:b/>
                <w:color w:val="FFFFFF"/>
                <w:sz w:val="20"/>
              </w:rPr>
              <w:t>Definition</w:t>
            </w:r>
          </w:p>
        </w:tc>
      </w:tr>
      <w:tr w:rsidR="00294066" w:rsidRPr="0071635A" w14:paraId="1DBCC0E1" w14:textId="77777777" w:rsidTr="00363792">
        <w:trPr>
          <w:trHeight w:val="1611"/>
          <w:jc w:val="center"/>
        </w:trPr>
        <w:tc>
          <w:tcPr>
            <w:tcW w:w="2962" w:type="dxa"/>
            <w:tcMar>
              <w:top w:w="90" w:type="dxa"/>
              <w:left w:w="90" w:type="dxa"/>
              <w:bottom w:w="90" w:type="dxa"/>
              <w:right w:w="90" w:type="dxa"/>
            </w:tcMar>
            <w:vAlign w:val="center"/>
          </w:tcPr>
          <w:p w14:paraId="37939F71" w14:textId="77777777" w:rsidR="00294066" w:rsidRPr="0071635A" w:rsidRDefault="00375155">
            <w:pPr>
              <w:spacing w:after="40"/>
            </w:pPr>
            <w:r w:rsidRPr="0071635A">
              <w:rPr>
                <w:b/>
                <w:sz w:val="20"/>
              </w:rPr>
              <w:t>Asset</w:t>
            </w:r>
          </w:p>
        </w:tc>
        <w:tc>
          <w:tcPr>
            <w:tcW w:w="7536" w:type="dxa"/>
            <w:tcMar>
              <w:top w:w="90" w:type="dxa"/>
              <w:left w:w="90" w:type="dxa"/>
              <w:bottom w:w="90" w:type="dxa"/>
              <w:right w:w="90" w:type="dxa"/>
            </w:tcMar>
            <w:vAlign w:val="center"/>
          </w:tcPr>
          <w:p w14:paraId="3558763D" w14:textId="77777777" w:rsidR="00294066" w:rsidRPr="0071635A" w:rsidRDefault="00375155">
            <w:pPr>
              <w:spacing w:after="40"/>
            </w:pPr>
            <w:r w:rsidRPr="0071635A">
              <w:rPr>
                <w:sz w:val="20"/>
              </w:rPr>
              <w:t>Ein Element von Wert für Stakeholder. Ein Asset kann materiell sein (z. B. ein physisches Element wie Hardware, Firmware, Computing-Plattform, Netzwerkgerät oder eine andere Technologiekomponente) oder immateriell (z. B. Menschen, Daten, Informationen, Software, Fähigkeit, Funktion, Dienstleistung, Marke, Urheberrecht, Patent, geistiges Eigentum, Image oder Reputation). Der Wert eines Assets wird von Stakeholdern unter Berücksichtigung möglicher Verluste über den gesamten Systemlebenszyklus bestimmt.</w:t>
            </w:r>
          </w:p>
        </w:tc>
      </w:tr>
      <w:tr w:rsidR="00294066" w:rsidRPr="0071635A" w14:paraId="20D41E47" w14:textId="77777777" w:rsidTr="00363792">
        <w:trPr>
          <w:trHeight w:val="716"/>
          <w:jc w:val="center"/>
        </w:trPr>
        <w:tc>
          <w:tcPr>
            <w:tcW w:w="2962" w:type="dxa"/>
            <w:tcMar>
              <w:top w:w="90" w:type="dxa"/>
              <w:left w:w="90" w:type="dxa"/>
              <w:bottom w:w="90" w:type="dxa"/>
              <w:right w:w="90" w:type="dxa"/>
            </w:tcMar>
            <w:vAlign w:val="center"/>
          </w:tcPr>
          <w:p w14:paraId="6D402C7C" w14:textId="77777777" w:rsidR="00294066" w:rsidRPr="0071635A" w:rsidRDefault="00375155">
            <w:pPr>
              <w:spacing w:after="40"/>
            </w:pPr>
            <w:r w:rsidRPr="0071635A">
              <w:rPr>
                <w:b/>
                <w:sz w:val="20"/>
              </w:rPr>
              <w:t>Asset-Verantwortliche/r</w:t>
            </w:r>
          </w:p>
        </w:tc>
        <w:tc>
          <w:tcPr>
            <w:tcW w:w="7536" w:type="dxa"/>
            <w:tcMar>
              <w:top w:w="90" w:type="dxa"/>
              <w:left w:w="90" w:type="dxa"/>
              <w:bottom w:w="90" w:type="dxa"/>
              <w:right w:w="90" w:type="dxa"/>
            </w:tcMar>
            <w:vAlign w:val="center"/>
          </w:tcPr>
          <w:p w14:paraId="51F78C74" w14:textId="77777777" w:rsidR="00294066" w:rsidRPr="0071635A" w:rsidRDefault="00375155">
            <w:pPr>
              <w:spacing w:after="40"/>
            </w:pPr>
            <w:r w:rsidRPr="0071635A">
              <w:rPr>
                <w:sz w:val="20"/>
              </w:rPr>
              <w:t>Person oder Organisation, die Verantwortung für Entwicklung, Beschaffung, Integration, Änderung, Betrieb und Wartung und/oder endgültige Aussonderung eines Assets trägt.</w:t>
            </w:r>
          </w:p>
        </w:tc>
      </w:tr>
      <w:tr w:rsidR="00294066" w:rsidRPr="0071635A" w14:paraId="49F91C89" w14:textId="77777777" w:rsidTr="00363792">
        <w:trPr>
          <w:trHeight w:val="1172"/>
          <w:jc w:val="center"/>
        </w:trPr>
        <w:tc>
          <w:tcPr>
            <w:tcW w:w="2962" w:type="dxa"/>
            <w:tcMar>
              <w:top w:w="90" w:type="dxa"/>
              <w:left w:w="90" w:type="dxa"/>
              <w:bottom w:w="90" w:type="dxa"/>
              <w:right w:w="90" w:type="dxa"/>
            </w:tcMar>
            <w:vAlign w:val="center"/>
          </w:tcPr>
          <w:p w14:paraId="049A3EFF" w14:textId="77777777" w:rsidR="00294066" w:rsidRPr="0071635A" w:rsidRDefault="00375155">
            <w:pPr>
              <w:spacing w:after="40"/>
            </w:pPr>
            <w:r w:rsidRPr="0071635A">
              <w:rPr>
                <w:b/>
                <w:sz w:val="20"/>
              </w:rPr>
              <w:t>Schwachstellenbewertung</w:t>
            </w:r>
          </w:p>
        </w:tc>
        <w:tc>
          <w:tcPr>
            <w:tcW w:w="7536" w:type="dxa"/>
            <w:tcMar>
              <w:top w:w="90" w:type="dxa"/>
              <w:left w:w="90" w:type="dxa"/>
              <w:bottom w:w="90" w:type="dxa"/>
              <w:right w:w="90" w:type="dxa"/>
            </w:tcMar>
            <w:vAlign w:val="center"/>
          </w:tcPr>
          <w:p w14:paraId="2C6F6EC4" w14:textId="77777777" w:rsidR="00294066" w:rsidRPr="0071635A" w:rsidRDefault="00375155">
            <w:pPr>
              <w:spacing w:after="40"/>
            </w:pPr>
            <w:r w:rsidRPr="0071635A">
              <w:rPr>
                <w:sz w:val="20"/>
              </w:rPr>
              <w:t>Systematische Untersuchung eines Informationssystems oder Produkts, um die Angemessenheit von Sicherheitsmaßnahmen festzustellen, Sicherheitsmängel zu identifizieren, Daten zur Vorhersage der Wirksamkeit vorgeschlagener Sicherheitsmaßnahmen bereitzustellen und die Angemessenheit solcher Maßnahmen nach der Umsetzung zu bestätigen.</w:t>
            </w:r>
          </w:p>
        </w:tc>
      </w:tr>
      <w:tr w:rsidR="00294066" w:rsidRPr="0071635A" w14:paraId="103B5CE3" w14:textId="77777777" w:rsidTr="00363792">
        <w:trPr>
          <w:trHeight w:val="1372"/>
          <w:jc w:val="center"/>
        </w:trPr>
        <w:tc>
          <w:tcPr>
            <w:tcW w:w="2962" w:type="dxa"/>
            <w:tcMar>
              <w:top w:w="90" w:type="dxa"/>
              <w:left w:w="90" w:type="dxa"/>
              <w:bottom w:w="90" w:type="dxa"/>
              <w:right w:w="90" w:type="dxa"/>
            </w:tcMar>
            <w:vAlign w:val="center"/>
          </w:tcPr>
          <w:p w14:paraId="74C88A9C" w14:textId="77777777" w:rsidR="00294066" w:rsidRPr="0071635A" w:rsidRDefault="00375155">
            <w:pPr>
              <w:spacing w:after="40"/>
            </w:pPr>
            <w:r w:rsidRPr="0071635A">
              <w:rPr>
                <w:b/>
                <w:sz w:val="20"/>
              </w:rPr>
              <w:t>Risikobewertung</w:t>
            </w:r>
          </w:p>
        </w:tc>
        <w:tc>
          <w:tcPr>
            <w:tcW w:w="7536" w:type="dxa"/>
            <w:tcMar>
              <w:top w:w="90" w:type="dxa"/>
              <w:left w:w="90" w:type="dxa"/>
              <w:bottom w:w="90" w:type="dxa"/>
              <w:right w:w="90" w:type="dxa"/>
            </w:tcMar>
            <w:vAlign w:val="center"/>
          </w:tcPr>
          <w:p w14:paraId="4C7A7084" w14:textId="77777777" w:rsidR="00294066" w:rsidRPr="0071635A" w:rsidRDefault="00375155">
            <w:pPr>
              <w:spacing w:after="40"/>
            </w:pPr>
            <w:r w:rsidRPr="0071635A">
              <w:rPr>
                <w:sz w:val="20"/>
              </w:rPr>
              <w:t>Der Prozess zur Identifizierung von Risiken für organisatorische Abläufe (einschließlich Mission, Funktionen, Image und Reputation), organisatorische Assets und Personen, die sich aus dem Betrieb eines Informationssystems ergeben. Als Teil des Risikomanagements umfasst er Bedrohungs- und Schwachstellenanalysen und berücksichtigt Risikominderungen durch geplante oder vorhandene Sicherheitskontrollen.</w:t>
            </w:r>
          </w:p>
        </w:tc>
      </w:tr>
      <w:tr w:rsidR="00294066" w:rsidRPr="0071635A" w14:paraId="55ABCA93" w14:textId="77777777" w:rsidTr="00363792">
        <w:trPr>
          <w:trHeight w:val="496"/>
          <w:jc w:val="center"/>
        </w:trPr>
        <w:tc>
          <w:tcPr>
            <w:tcW w:w="2962" w:type="dxa"/>
            <w:tcMar>
              <w:top w:w="90" w:type="dxa"/>
              <w:left w:w="90" w:type="dxa"/>
              <w:bottom w:w="90" w:type="dxa"/>
              <w:right w:w="90" w:type="dxa"/>
            </w:tcMar>
            <w:vAlign w:val="center"/>
          </w:tcPr>
          <w:p w14:paraId="50671747" w14:textId="77777777" w:rsidR="00294066" w:rsidRPr="0071635A" w:rsidRDefault="00375155">
            <w:pPr>
              <w:spacing w:after="40"/>
            </w:pPr>
            <w:r w:rsidRPr="0071635A">
              <w:rPr>
                <w:b/>
                <w:sz w:val="20"/>
              </w:rPr>
              <w:t>Risikomanagement</w:t>
            </w:r>
          </w:p>
        </w:tc>
        <w:tc>
          <w:tcPr>
            <w:tcW w:w="7536" w:type="dxa"/>
            <w:tcMar>
              <w:top w:w="90" w:type="dxa"/>
              <w:left w:w="90" w:type="dxa"/>
              <w:bottom w:w="90" w:type="dxa"/>
              <w:right w:w="90" w:type="dxa"/>
            </w:tcMar>
            <w:vAlign w:val="center"/>
          </w:tcPr>
          <w:p w14:paraId="1DF4DC15" w14:textId="77777777" w:rsidR="00294066" w:rsidRPr="0071635A" w:rsidRDefault="00375155">
            <w:pPr>
              <w:spacing w:after="40"/>
            </w:pPr>
            <w:r w:rsidRPr="0071635A">
              <w:rPr>
                <w:sz w:val="20"/>
              </w:rPr>
              <w:t>Der Prozess der Identifizierung und Bewertung von Risiken sowie der Ergreifung von Maßnahmen zur Reduzierung von Risiken auf ein akzeptables Niveau.</w:t>
            </w:r>
          </w:p>
        </w:tc>
      </w:tr>
      <w:tr w:rsidR="00294066" w:rsidRPr="0071635A" w14:paraId="5E890BEE" w14:textId="77777777" w:rsidTr="00363792">
        <w:trPr>
          <w:trHeight w:val="1392"/>
          <w:jc w:val="center"/>
        </w:trPr>
        <w:tc>
          <w:tcPr>
            <w:tcW w:w="2962" w:type="dxa"/>
            <w:tcMar>
              <w:top w:w="90" w:type="dxa"/>
              <w:left w:w="90" w:type="dxa"/>
              <w:bottom w:w="90" w:type="dxa"/>
              <w:right w:w="90" w:type="dxa"/>
            </w:tcMar>
            <w:vAlign w:val="center"/>
          </w:tcPr>
          <w:p w14:paraId="3A87450A" w14:textId="77777777" w:rsidR="00294066" w:rsidRPr="0071635A" w:rsidRDefault="00375155">
            <w:pPr>
              <w:spacing w:after="40"/>
            </w:pPr>
            <w:r w:rsidRPr="0071635A">
              <w:rPr>
                <w:b/>
                <w:sz w:val="20"/>
              </w:rPr>
              <w:t>Lieferkettenrisiko</w:t>
            </w:r>
          </w:p>
        </w:tc>
        <w:tc>
          <w:tcPr>
            <w:tcW w:w="7536" w:type="dxa"/>
            <w:tcMar>
              <w:top w:w="90" w:type="dxa"/>
              <w:left w:w="90" w:type="dxa"/>
              <w:bottom w:w="90" w:type="dxa"/>
              <w:right w:w="90" w:type="dxa"/>
            </w:tcMar>
            <w:vAlign w:val="center"/>
          </w:tcPr>
          <w:p w14:paraId="72707017" w14:textId="77777777" w:rsidR="00294066" w:rsidRPr="0071635A" w:rsidRDefault="00375155">
            <w:pPr>
              <w:spacing w:after="40"/>
            </w:pPr>
            <w:r w:rsidRPr="0071635A">
              <w:rPr>
                <w:sz w:val="20"/>
              </w:rPr>
              <w:t>Das Potenzial für Schaden oder Kompromittierung, das sich aus Sicherheitsrisiken von Lieferanten, deren Lieferketten sowie deren Produkten oder Dienstleistungen ergibt. Lieferkettenrisiken umfassen Expositionen, Bedrohungen und Schwachstellen im Zusammenhang mit Produkten und Dienstleistungen entlang der Lieferkette sowie Expositionen, Bedrohungen und Schwachstellen der Lieferkette selbst.</w:t>
            </w:r>
          </w:p>
        </w:tc>
      </w:tr>
      <w:tr w:rsidR="00294066" w:rsidRPr="0071635A" w14:paraId="0BF76D0D" w14:textId="77777777" w:rsidTr="00363792">
        <w:trPr>
          <w:trHeight w:val="477"/>
          <w:jc w:val="center"/>
        </w:trPr>
        <w:tc>
          <w:tcPr>
            <w:tcW w:w="2962" w:type="dxa"/>
            <w:tcMar>
              <w:top w:w="90" w:type="dxa"/>
              <w:left w:w="90" w:type="dxa"/>
              <w:bottom w:w="90" w:type="dxa"/>
              <w:right w:w="90" w:type="dxa"/>
            </w:tcMar>
            <w:vAlign w:val="center"/>
          </w:tcPr>
          <w:p w14:paraId="4A9B80C1" w14:textId="77777777" w:rsidR="00294066" w:rsidRPr="0071635A" w:rsidRDefault="00375155">
            <w:pPr>
              <w:spacing w:after="40"/>
            </w:pPr>
            <w:r w:rsidRPr="0071635A">
              <w:rPr>
                <w:b/>
                <w:sz w:val="20"/>
              </w:rPr>
              <w:t>Dritte Partei</w:t>
            </w:r>
          </w:p>
        </w:tc>
        <w:tc>
          <w:tcPr>
            <w:tcW w:w="7536" w:type="dxa"/>
            <w:tcMar>
              <w:top w:w="90" w:type="dxa"/>
              <w:left w:w="90" w:type="dxa"/>
              <w:bottom w:w="90" w:type="dxa"/>
              <w:right w:w="90" w:type="dxa"/>
            </w:tcMar>
            <w:vAlign w:val="center"/>
          </w:tcPr>
          <w:p w14:paraId="4AA7370B" w14:textId="77777777" w:rsidR="00294066" w:rsidRPr="0071635A" w:rsidRDefault="00375155">
            <w:pPr>
              <w:spacing w:after="40"/>
            </w:pPr>
            <w:r w:rsidRPr="0071635A">
              <w:rPr>
                <w:sz w:val="20"/>
              </w:rPr>
              <w:t>Eine Organisation oder Einzelperson außerhalb von [UNTERNEHMENSNAME], die Produkte oder Dienstleistungen bereitstellt.</w:t>
            </w:r>
          </w:p>
        </w:tc>
      </w:tr>
      <w:tr w:rsidR="00294066" w:rsidRPr="0071635A" w14:paraId="51822C78" w14:textId="77777777" w:rsidTr="00363792">
        <w:trPr>
          <w:trHeight w:val="496"/>
          <w:jc w:val="center"/>
        </w:trPr>
        <w:tc>
          <w:tcPr>
            <w:tcW w:w="2962" w:type="dxa"/>
            <w:tcMar>
              <w:top w:w="90" w:type="dxa"/>
              <w:left w:w="90" w:type="dxa"/>
              <w:bottom w:w="90" w:type="dxa"/>
              <w:right w:w="90" w:type="dxa"/>
            </w:tcMar>
            <w:vAlign w:val="center"/>
          </w:tcPr>
          <w:p w14:paraId="2E1F4D36" w14:textId="77777777" w:rsidR="00294066" w:rsidRPr="0071635A" w:rsidRDefault="00375155">
            <w:pPr>
              <w:spacing w:after="40"/>
            </w:pPr>
            <w:r w:rsidRPr="0071635A">
              <w:rPr>
                <w:b/>
                <w:sz w:val="20"/>
              </w:rPr>
              <w:t>Beschaffung</w:t>
            </w:r>
          </w:p>
        </w:tc>
        <w:tc>
          <w:tcPr>
            <w:tcW w:w="7536" w:type="dxa"/>
            <w:tcMar>
              <w:top w:w="90" w:type="dxa"/>
              <w:left w:w="90" w:type="dxa"/>
              <w:bottom w:w="90" w:type="dxa"/>
              <w:right w:w="90" w:type="dxa"/>
            </w:tcMar>
            <w:vAlign w:val="center"/>
          </w:tcPr>
          <w:p w14:paraId="01E1E105" w14:textId="77777777" w:rsidR="00294066" w:rsidRPr="0071635A" w:rsidRDefault="00375155">
            <w:pPr>
              <w:spacing w:after="40"/>
            </w:pPr>
            <w:r w:rsidRPr="0071635A">
              <w:rPr>
                <w:sz w:val="20"/>
              </w:rPr>
              <w:t>Der Prozess des Erwerbs von Waren oder Dienstleistungen, einschließlich IT-Assets.</w:t>
            </w:r>
          </w:p>
        </w:tc>
      </w:tr>
      <w:tr w:rsidR="00294066" w:rsidRPr="0071635A" w14:paraId="50824305" w14:textId="77777777" w:rsidTr="00363792">
        <w:trPr>
          <w:trHeight w:val="695"/>
          <w:jc w:val="center"/>
        </w:trPr>
        <w:tc>
          <w:tcPr>
            <w:tcW w:w="2962" w:type="dxa"/>
            <w:tcMar>
              <w:top w:w="90" w:type="dxa"/>
              <w:left w:w="90" w:type="dxa"/>
              <w:bottom w:w="90" w:type="dxa"/>
              <w:right w:w="90" w:type="dxa"/>
            </w:tcMar>
            <w:vAlign w:val="center"/>
          </w:tcPr>
          <w:p w14:paraId="09F0E585" w14:textId="77777777" w:rsidR="00294066" w:rsidRPr="0071635A" w:rsidRDefault="00375155">
            <w:pPr>
              <w:spacing w:after="40"/>
            </w:pPr>
            <w:r w:rsidRPr="0071635A">
              <w:rPr>
                <w:b/>
                <w:sz w:val="20"/>
              </w:rPr>
              <w:t>Entsorgung</w:t>
            </w:r>
          </w:p>
        </w:tc>
        <w:tc>
          <w:tcPr>
            <w:tcW w:w="7536" w:type="dxa"/>
            <w:tcMar>
              <w:top w:w="90" w:type="dxa"/>
              <w:left w:w="90" w:type="dxa"/>
              <w:bottom w:w="90" w:type="dxa"/>
              <w:right w:w="90" w:type="dxa"/>
            </w:tcMar>
            <w:vAlign w:val="center"/>
          </w:tcPr>
          <w:p w14:paraId="79A1D556" w14:textId="77777777" w:rsidR="00294066" w:rsidRPr="0071635A" w:rsidRDefault="00375155">
            <w:pPr>
              <w:spacing w:after="40"/>
            </w:pPr>
            <w:r w:rsidRPr="0071635A">
              <w:rPr>
                <w:sz w:val="20"/>
              </w:rPr>
              <w:t>Der ordnungsgemäße und sichere Prozess der Aussonderung und Entfernung nicht mehr benötigter Assets, wobei sichergestellt wird, dass verbleibende Daten sicher vernichtet werden.</w:t>
            </w:r>
          </w:p>
        </w:tc>
      </w:tr>
      <w:tr w:rsidR="00294066" w:rsidRPr="0071635A" w14:paraId="317DADFA" w14:textId="77777777" w:rsidTr="00363792">
        <w:trPr>
          <w:trHeight w:val="934"/>
          <w:jc w:val="center"/>
        </w:trPr>
        <w:tc>
          <w:tcPr>
            <w:tcW w:w="2962" w:type="dxa"/>
            <w:tcMar>
              <w:top w:w="90" w:type="dxa"/>
              <w:left w:w="90" w:type="dxa"/>
              <w:bottom w:w="90" w:type="dxa"/>
              <w:right w:w="90" w:type="dxa"/>
            </w:tcMar>
            <w:vAlign w:val="center"/>
          </w:tcPr>
          <w:p w14:paraId="3051FD8B" w14:textId="77777777" w:rsidR="00294066" w:rsidRPr="0071635A" w:rsidRDefault="00375155">
            <w:pPr>
              <w:spacing w:after="40"/>
            </w:pPr>
            <w:r w:rsidRPr="0071635A">
              <w:rPr>
                <w:b/>
                <w:sz w:val="20"/>
              </w:rPr>
              <w:t>Patch-Management</w:t>
            </w:r>
          </w:p>
        </w:tc>
        <w:tc>
          <w:tcPr>
            <w:tcW w:w="7536" w:type="dxa"/>
            <w:tcMar>
              <w:top w:w="90" w:type="dxa"/>
              <w:left w:w="90" w:type="dxa"/>
              <w:bottom w:w="90" w:type="dxa"/>
              <w:right w:w="90" w:type="dxa"/>
            </w:tcMar>
            <w:vAlign w:val="center"/>
          </w:tcPr>
          <w:p w14:paraId="54789875" w14:textId="77777777" w:rsidR="00294066" w:rsidRPr="0071635A" w:rsidRDefault="00375155">
            <w:pPr>
              <w:spacing w:after="40"/>
            </w:pPr>
            <w:r w:rsidRPr="0071635A">
              <w:rPr>
                <w:sz w:val="20"/>
              </w:rPr>
              <w:t>Die systematische Benachrichtigung, Identifizierung, Bereitstellung, Installation und Verifizierung von Code-Revisionen für Betriebssystem- und Anwendungssoftware. Diese Revisionen werden als Patches, Hotfixes und Service Packs bezeichnet.</w:t>
            </w:r>
          </w:p>
        </w:tc>
      </w:tr>
    </w:tbl>
    <w:p w14:paraId="4BF75964" w14:textId="3EB5A41B" w:rsidR="00363792" w:rsidRPr="00363792" w:rsidRDefault="00363792" w:rsidP="00363792">
      <w:pPr>
        <w:tabs>
          <w:tab w:val="left" w:pos="3460"/>
        </w:tabs>
      </w:pPr>
    </w:p>
    <w:sectPr w:rsidR="00363792" w:rsidRPr="00363792" w:rsidSect="00954474">
      <w:headerReference w:type="default" r:id="rId8"/>
      <w:footerReference w:type="default" r:id="rId9"/>
      <w:pgSz w:w="12240" w:h="15840"/>
      <w:pgMar w:top="936" w:right="1080" w:bottom="936" w:left="108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7641" w14:textId="77777777" w:rsidR="00D954CA" w:rsidRPr="0071635A" w:rsidRDefault="00D954CA" w:rsidP="00954474">
      <w:pPr>
        <w:spacing w:after="0" w:line="240" w:lineRule="auto"/>
      </w:pPr>
      <w:r w:rsidRPr="0071635A">
        <w:separator/>
      </w:r>
    </w:p>
  </w:endnote>
  <w:endnote w:type="continuationSeparator" w:id="0">
    <w:p w14:paraId="6D11A874" w14:textId="77777777" w:rsidR="00D954CA" w:rsidRPr="0071635A" w:rsidRDefault="00D954CA" w:rsidP="00954474">
      <w:pPr>
        <w:spacing w:after="0" w:line="240" w:lineRule="auto"/>
      </w:pPr>
      <w:r w:rsidRPr="00716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6F41" w14:textId="0B4759C3" w:rsidR="006C47DD" w:rsidRPr="0071635A" w:rsidRDefault="006C47DD">
    <w:pPr>
      <w:pStyle w:val="Footer"/>
      <w:rPr>
        <w:i/>
        <w:iCs/>
        <w:sz w:val="12"/>
        <w:szCs w:val="12"/>
      </w:rPr>
    </w:pPr>
    <w:r w:rsidRPr="0071635A">
      <w:rPr>
        <w:i/>
        <w:iCs/>
        <w:sz w:val="12"/>
        <w:szCs w:val="12"/>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 Die Verantwortung für die Bewertung und Implementierung geeigneter Notfall- und Reaktionsprozesse liegt beim Unternehmen. Die Vorlagen ersetzen weder die Beratung durch Rechtsanwälte noch die Unterstützung durch Cybersicherheitsexperten.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CEBE9" w14:textId="77777777" w:rsidR="00D954CA" w:rsidRPr="0071635A" w:rsidRDefault="00D954CA" w:rsidP="00954474">
      <w:pPr>
        <w:spacing w:after="0" w:line="240" w:lineRule="auto"/>
      </w:pPr>
      <w:r w:rsidRPr="0071635A">
        <w:separator/>
      </w:r>
    </w:p>
  </w:footnote>
  <w:footnote w:type="continuationSeparator" w:id="0">
    <w:p w14:paraId="4169EADB" w14:textId="77777777" w:rsidR="00D954CA" w:rsidRPr="0071635A" w:rsidRDefault="00D954CA" w:rsidP="00954474">
      <w:pPr>
        <w:spacing w:after="0" w:line="240" w:lineRule="auto"/>
      </w:pPr>
      <w:r w:rsidRPr="007163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BA7C" w14:textId="26DAE829" w:rsidR="00954474" w:rsidRPr="0071635A" w:rsidRDefault="00EB1812" w:rsidP="00EB1812">
    <w:pPr>
      <w:pStyle w:val="Header"/>
    </w:pPr>
    <w:r w:rsidRPr="0071635A">
      <w:t xml:space="preserve">                                                                                                                                                                                                                      </w:t>
    </w:r>
    <w:r w:rsidR="00954474" w:rsidRPr="0071635A">
      <w:rPr>
        <w:noProof/>
      </w:rPr>
      <w:drawing>
        <wp:inline distT="0" distB="0" distL="0" distR="0" wp14:anchorId="081CD6D5" wp14:editId="0A9C944B">
          <wp:extent cx="576000" cy="28072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576000" cy="2807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503B8A"/>
    <w:multiLevelType w:val="hybridMultilevel"/>
    <w:tmpl w:val="DCEE188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1611609">
    <w:abstractNumId w:val="8"/>
  </w:num>
  <w:num w:numId="2" w16cid:durableId="310258543">
    <w:abstractNumId w:val="6"/>
  </w:num>
  <w:num w:numId="3" w16cid:durableId="310250878">
    <w:abstractNumId w:val="5"/>
  </w:num>
  <w:num w:numId="4" w16cid:durableId="2013490718">
    <w:abstractNumId w:val="4"/>
  </w:num>
  <w:num w:numId="5" w16cid:durableId="693385071">
    <w:abstractNumId w:val="7"/>
  </w:num>
  <w:num w:numId="6" w16cid:durableId="1449352977">
    <w:abstractNumId w:val="3"/>
  </w:num>
  <w:num w:numId="7" w16cid:durableId="98837402">
    <w:abstractNumId w:val="2"/>
  </w:num>
  <w:num w:numId="8" w16cid:durableId="67584689">
    <w:abstractNumId w:val="1"/>
  </w:num>
  <w:num w:numId="9" w16cid:durableId="921335328">
    <w:abstractNumId w:val="0"/>
  </w:num>
  <w:num w:numId="10" w16cid:durableId="16822439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6CC4"/>
    <w:rsid w:val="00240E76"/>
    <w:rsid w:val="00294066"/>
    <w:rsid w:val="0029639D"/>
    <w:rsid w:val="00326F90"/>
    <w:rsid w:val="00363792"/>
    <w:rsid w:val="00375155"/>
    <w:rsid w:val="004038A9"/>
    <w:rsid w:val="004C0C92"/>
    <w:rsid w:val="00505C69"/>
    <w:rsid w:val="006C47DD"/>
    <w:rsid w:val="006C4D83"/>
    <w:rsid w:val="0071635A"/>
    <w:rsid w:val="0086376B"/>
    <w:rsid w:val="00954474"/>
    <w:rsid w:val="009C05BB"/>
    <w:rsid w:val="009F716E"/>
    <w:rsid w:val="00A727EB"/>
    <w:rsid w:val="00AA1D8D"/>
    <w:rsid w:val="00B0588C"/>
    <w:rsid w:val="00B47730"/>
    <w:rsid w:val="00B84818"/>
    <w:rsid w:val="00C02ACC"/>
    <w:rsid w:val="00CB0664"/>
    <w:rsid w:val="00D631AF"/>
    <w:rsid w:val="00D954CA"/>
    <w:rsid w:val="00E157A5"/>
    <w:rsid w:val="00E94539"/>
    <w:rsid w:val="00EB1812"/>
    <w:rsid w:val="00F133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365448B-A6DD-47B9-BC21-0FF671E64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de-D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EB1812"/>
    <w:pPr>
      <w:spacing w:after="100"/>
      <w:ind w:left="210"/>
    </w:pPr>
  </w:style>
  <w:style w:type="paragraph" w:styleId="TOC3">
    <w:name w:val="toc 3"/>
    <w:basedOn w:val="Normal"/>
    <w:next w:val="Normal"/>
    <w:autoRedefine/>
    <w:uiPriority w:val="39"/>
    <w:unhideWhenUsed/>
    <w:rsid w:val="00EB1812"/>
    <w:pPr>
      <w:spacing w:after="100"/>
      <w:ind w:left="420"/>
    </w:pPr>
  </w:style>
  <w:style w:type="character" w:styleId="Hyperlink">
    <w:name w:val="Hyperlink"/>
    <w:basedOn w:val="DefaultParagraphFont"/>
    <w:uiPriority w:val="99"/>
    <w:unhideWhenUsed/>
    <w:rsid w:val="00EB18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2659</Words>
  <Characters>16756</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Richtlinie zum IT-Asset-Management</dc:title>
  <dc:subject>Cyber Governance Vorlage</dc:subject>
  <dc:creator>Insaf Idelhaj</dc:creator>
  <cp:keywords/>
  <dc:description>generated by python-docx</dc:description>
  <cp:lastModifiedBy>Jan Rott</cp:lastModifiedBy>
  <cp:revision>10</cp:revision>
  <dcterms:created xsi:type="dcterms:W3CDTF">2026-09-01T15:07:00Z</dcterms:created>
  <dcterms:modified xsi:type="dcterms:W3CDTF">2026-09-01T15:23:00Z</dcterms:modified>
  <cp:category/>
  <dc:language>de-DE</dc:language>
</cp:coreProperties>
</file>