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C263E" w14:textId="17C611F1" w:rsidR="006F2AD5" w:rsidRPr="00061F5D" w:rsidRDefault="290F2385" w:rsidP="290F2385">
      <w:pPr>
        <w:jc w:val="center"/>
        <w:rPr>
          <w:rFonts w:ascii="QBE Sans" w:hAnsi="QBE Sans" w:cs="QBE Sans"/>
          <w:b/>
          <w:bCs/>
          <w:color w:val="3D403D"/>
          <w:sz w:val="28"/>
          <w:szCs w:val="28"/>
          <w:highlight w:val="yellow"/>
          <w:lang w:val="it-IT"/>
        </w:rPr>
      </w:pPr>
      <w:r w:rsidRPr="00061F5D">
        <w:rPr>
          <w:rFonts w:ascii="QBE Sans" w:hAnsi="QBE Sans" w:cs="QBE Sans"/>
          <w:b/>
          <w:bCs/>
          <w:color w:val="3D403D"/>
          <w:sz w:val="28"/>
          <w:szCs w:val="28"/>
          <w:highlight w:val="yellow"/>
          <w:lang w:val="it-IT"/>
        </w:rPr>
        <w:t>[</w:t>
      </w:r>
      <w:r w:rsidR="00061F5D">
        <w:rPr>
          <w:rFonts w:ascii="QBE Sans" w:hAnsi="QBE Sans" w:cs="QBE Sans"/>
          <w:b/>
          <w:bCs/>
          <w:color w:val="3D403D"/>
          <w:sz w:val="28"/>
          <w:szCs w:val="28"/>
          <w:highlight w:val="yellow"/>
          <w:lang w:val="it-IT"/>
        </w:rPr>
        <w:t>NOME AZIENDA</w:t>
      </w:r>
      <w:r w:rsidRPr="00061F5D">
        <w:rPr>
          <w:rFonts w:ascii="QBE Sans" w:hAnsi="QBE Sans" w:cs="QBE Sans"/>
          <w:b/>
          <w:bCs/>
          <w:color w:val="3D403D"/>
          <w:sz w:val="28"/>
          <w:szCs w:val="28"/>
          <w:highlight w:val="yellow"/>
          <w:lang w:val="it-IT"/>
        </w:rPr>
        <w:t>]</w:t>
      </w:r>
    </w:p>
    <w:p w14:paraId="02DCDE46" w14:textId="78413A39" w:rsidR="006F2AD5" w:rsidRPr="00061F5D" w:rsidRDefault="00CC6C00">
      <w:pPr>
        <w:pStyle w:val="Title"/>
        <w:jc w:val="center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>Policy per la</w:t>
      </w:r>
      <w:r w:rsidR="001A56C2" w:rsidRPr="00061F5D">
        <w:rPr>
          <w:rFonts w:ascii="QBE Sans" w:hAnsi="QBE Sans" w:cs="QBE Sans"/>
          <w:color w:val="auto"/>
          <w:lang w:val="it-IT"/>
        </w:rPr>
        <w:t xml:space="preserve"> Gestione degli Asset</w:t>
      </w:r>
    </w:p>
    <w:p w14:paraId="6E6DD1BB" w14:textId="77777777" w:rsidR="006F2AD5" w:rsidRPr="00061F5D" w:rsidRDefault="001A56C2">
      <w:pPr>
        <w:jc w:val="center"/>
        <w:rPr>
          <w:rFonts w:ascii="QBE Sans" w:hAnsi="QBE Sans" w:cs="QBE Sans"/>
          <w:lang w:val="fr-FR"/>
        </w:rPr>
      </w:pPr>
      <w:proofErr w:type="spellStart"/>
      <w:r w:rsidRPr="00061F5D">
        <w:rPr>
          <w:rFonts w:ascii="QBE Sans" w:hAnsi="QBE Sans" w:cs="QBE Sans"/>
          <w:b/>
          <w:color w:val="3D403D"/>
          <w:lang w:val="fr-FR"/>
        </w:rPr>
        <w:t>Riservato</w:t>
      </w:r>
      <w:proofErr w:type="spellEnd"/>
      <w:r w:rsidRPr="00061F5D">
        <w:rPr>
          <w:rFonts w:ascii="QBE Sans" w:hAnsi="QBE Sans" w:cs="QBE Sans"/>
          <w:b/>
          <w:color w:val="3D403D"/>
          <w:lang w:val="fr-FR"/>
        </w:rPr>
        <w:t xml:space="preserve"> </w:t>
      </w:r>
      <w:proofErr w:type="spellStart"/>
      <w:r w:rsidRPr="00061F5D">
        <w:rPr>
          <w:rFonts w:ascii="QBE Sans" w:hAnsi="QBE Sans" w:cs="QBE Sans"/>
          <w:b/>
          <w:color w:val="3D403D"/>
          <w:lang w:val="fr-FR"/>
        </w:rPr>
        <w:t>aziendale</w:t>
      </w:r>
      <w:proofErr w:type="spellEnd"/>
      <w:r w:rsidRPr="00061F5D">
        <w:rPr>
          <w:rFonts w:ascii="QBE Sans" w:hAnsi="QBE Sans" w:cs="QBE Sans"/>
          <w:b/>
          <w:color w:val="3D403D"/>
          <w:lang w:val="fr-FR"/>
        </w:rPr>
        <w:t xml:space="preserve">. Da non </w:t>
      </w:r>
      <w:proofErr w:type="spellStart"/>
      <w:r w:rsidRPr="00061F5D">
        <w:rPr>
          <w:rFonts w:ascii="QBE Sans" w:hAnsi="QBE Sans" w:cs="QBE Sans"/>
          <w:b/>
          <w:color w:val="3D403D"/>
          <w:lang w:val="fr-FR"/>
        </w:rPr>
        <w:t>distribuire</w:t>
      </w:r>
      <w:proofErr w:type="spellEnd"/>
    </w:p>
    <w:p w14:paraId="41B300CE" w14:textId="77777777" w:rsidR="006F2AD5" w:rsidRPr="00061F5D" w:rsidRDefault="001A56C2">
      <w:pPr>
        <w:spacing w:before="360"/>
        <w:rPr>
          <w:rFonts w:ascii="QBE Sans" w:hAnsi="QBE Sans" w:cs="QBE Sans"/>
          <w:lang w:val="fr-FR"/>
        </w:rPr>
      </w:pPr>
      <w:r w:rsidRPr="00061F5D">
        <w:rPr>
          <w:rFonts w:ascii="QBE Sans" w:hAnsi="QBE Sans" w:cs="QBE Sans"/>
          <w:b/>
          <w:color w:val="3D403D"/>
          <w:lang w:val="fr-FR"/>
        </w:rPr>
        <w:t>CRONOLOGIA DELLE VERSIONI</w:t>
      </w:r>
    </w:p>
    <w:tbl>
      <w:tblPr>
        <w:tblStyle w:val="TableGrid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1435"/>
        <w:gridCol w:w="1572"/>
        <w:gridCol w:w="2283"/>
        <w:gridCol w:w="5134"/>
      </w:tblGrid>
      <w:tr w:rsidR="006F2AD5" w:rsidRPr="00061F5D" w14:paraId="0A75C889" w14:textId="77777777">
        <w:trPr>
          <w:jc w:val="center"/>
        </w:trPr>
        <w:tc>
          <w:tcPr>
            <w:tcW w:w="1440" w:type="dxa"/>
            <w:shd w:val="clear" w:color="auto" w:fill="E7EC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AB282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</w:rPr>
            </w:pPr>
            <w:r w:rsidRPr="00061F5D">
              <w:rPr>
                <w:rFonts w:ascii="QBE Sans" w:hAnsi="QBE Sans" w:cs="QBE Sans"/>
                <w:b/>
                <w:color w:val="3D403D"/>
                <w:sz w:val="17"/>
              </w:rPr>
              <w:t>VERSIONE</w:t>
            </w:r>
          </w:p>
        </w:tc>
        <w:tc>
          <w:tcPr>
            <w:tcW w:w="1584" w:type="dxa"/>
            <w:shd w:val="clear" w:color="auto" w:fill="E7EC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A201D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</w:rPr>
            </w:pPr>
            <w:r w:rsidRPr="00061F5D">
              <w:rPr>
                <w:rFonts w:ascii="QBE Sans" w:hAnsi="QBE Sans" w:cs="QBE Sans"/>
                <w:b/>
                <w:color w:val="3D403D"/>
                <w:sz w:val="17"/>
              </w:rPr>
              <w:t>DATA</w:t>
            </w:r>
          </w:p>
        </w:tc>
        <w:tc>
          <w:tcPr>
            <w:tcW w:w="2304" w:type="dxa"/>
            <w:shd w:val="clear" w:color="auto" w:fill="E7EC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5CB59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</w:rPr>
            </w:pPr>
            <w:r w:rsidRPr="00061F5D">
              <w:rPr>
                <w:rFonts w:ascii="QBE Sans" w:hAnsi="QBE Sans" w:cs="QBE Sans"/>
                <w:b/>
                <w:color w:val="3D403D"/>
                <w:sz w:val="17"/>
              </w:rPr>
              <w:t>NOME</w:t>
            </w:r>
          </w:p>
        </w:tc>
        <w:tc>
          <w:tcPr>
            <w:tcW w:w="5184" w:type="dxa"/>
            <w:shd w:val="clear" w:color="auto" w:fill="E7EC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21B25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</w:rPr>
            </w:pPr>
            <w:r w:rsidRPr="00061F5D">
              <w:rPr>
                <w:rFonts w:ascii="QBE Sans" w:hAnsi="QBE Sans" w:cs="QBE Sans"/>
                <w:b/>
                <w:color w:val="3D403D"/>
                <w:sz w:val="17"/>
              </w:rPr>
              <w:t>DESCRIZIONE</w:t>
            </w:r>
          </w:p>
        </w:tc>
      </w:tr>
      <w:tr w:rsidR="006F2AD5" w:rsidRPr="00061F5D" w14:paraId="672A6659" w14:textId="77777777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37501D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AB6C7B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230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EB378F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05A809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</w:tr>
      <w:tr w:rsidR="006F2AD5" w:rsidRPr="00061F5D" w14:paraId="5A39BBE3" w14:textId="77777777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C8F396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A3D3EC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230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0B940D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27B00A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</w:tr>
      <w:tr w:rsidR="006F2AD5" w:rsidRPr="00061F5D" w14:paraId="60061E4C" w14:textId="77777777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EAFD9C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94D5A5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230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EEC669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56B9AB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</w:tr>
      <w:tr w:rsidR="006F2AD5" w:rsidRPr="00061F5D" w14:paraId="45FB0818" w14:textId="77777777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9F31CB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128261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230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486C05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01652C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</w:tr>
      <w:tr w:rsidR="006F2AD5" w:rsidRPr="00061F5D" w14:paraId="4B99056E" w14:textId="77777777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99C43A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DBEF00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230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61D779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F2D8B6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</w:tr>
      <w:tr w:rsidR="006F2AD5" w:rsidRPr="00061F5D" w14:paraId="0FB78278" w14:textId="77777777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C39945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62CB0E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230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CE0A41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EBF3C5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</w:tr>
      <w:tr w:rsidR="006F2AD5" w:rsidRPr="00061F5D" w14:paraId="6D98A12B" w14:textId="77777777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46DB82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97CC1D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230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0FFD37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699379" w14:textId="77777777" w:rsidR="006F2AD5" w:rsidRPr="00061F5D" w:rsidRDefault="006F2AD5">
            <w:pPr>
              <w:rPr>
                <w:rFonts w:ascii="QBE Sans" w:hAnsi="QBE Sans" w:cs="QBE Sans"/>
              </w:rPr>
            </w:pPr>
          </w:p>
        </w:tc>
      </w:tr>
    </w:tbl>
    <w:p w14:paraId="3FE9F23F" w14:textId="77777777" w:rsidR="006F2AD5" w:rsidRPr="00061F5D" w:rsidRDefault="006F2AD5">
      <w:pPr>
        <w:spacing w:after="120" w:line="259" w:lineRule="auto"/>
        <w:rPr>
          <w:rFonts w:ascii="QBE Sans" w:hAnsi="QBE Sans" w:cs="QBE Sans"/>
        </w:rPr>
      </w:pPr>
    </w:p>
    <w:p w14:paraId="57497B8A" w14:textId="0EB02265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7BBAB691" w14:textId="279E692A" w:rsidR="006F2AD5" w:rsidRPr="00061F5D" w:rsidRDefault="001A56C2">
      <w:pPr>
        <w:rPr>
          <w:rFonts w:ascii="QBE Sans" w:hAnsi="QBE Sans" w:cs="QBE Sans"/>
          <w:color w:val="auto"/>
        </w:rPr>
      </w:pPr>
      <w:proofErr w:type="spellStart"/>
      <w:r w:rsidRPr="00061F5D">
        <w:rPr>
          <w:rFonts w:ascii="QBE Sans" w:hAnsi="QBE Sans" w:cs="QBE Sans"/>
          <w:b/>
          <w:color w:val="auto"/>
        </w:rPr>
        <w:t>Responsabile</w:t>
      </w:r>
      <w:proofErr w:type="spellEnd"/>
      <w:r w:rsidRPr="00061F5D">
        <w:rPr>
          <w:rFonts w:ascii="QBE Sans" w:hAnsi="QBE Sans" w:cs="QBE Sans"/>
          <w:b/>
          <w:color w:val="auto"/>
        </w:rPr>
        <w:t xml:space="preserve"> della </w:t>
      </w:r>
      <w:r w:rsidR="00CC6C00" w:rsidRPr="00061F5D">
        <w:rPr>
          <w:rFonts w:ascii="QBE Sans" w:hAnsi="QBE Sans" w:cs="QBE Sans"/>
          <w:b/>
          <w:color w:val="auto"/>
        </w:rPr>
        <w:t>policy</w:t>
      </w:r>
      <w:r w:rsidRPr="00061F5D">
        <w:rPr>
          <w:rFonts w:ascii="QBE Sans" w:hAnsi="QBE Sans" w:cs="QBE Sans"/>
          <w:b/>
          <w:color w:val="auto"/>
        </w:rPr>
        <w:t xml:space="preserve">: </w:t>
      </w:r>
    </w:p>
    <w:p w14:paraId="7FFC4F47" w14:textId="77777777" w:rsidR="006F2AD5" w:rsidRPr="00061F5D" w:rsidRDefault="290F2385">
      <w:pPr>
        <w:rPr>
          <w:rFonts w:ascii="QBE Sans" w:hAnsi="QBE Sans" w:cs="QBE Sans"/>
        </w:rPr>
      </w:pPr>
      <w:r w:rsidRPr="00061F5D">
        <w:rPr>
          <w:rFonts w:ascii="QBE Sans" w:hAnsi="QBE Sans" w:cs="QBE Sans"/>
          <w:b/>
          <w:bCs/>
        </w:rPr>
        <w:t xml:space="preserve">Prossima revisione: </w:t>
      </w:r>
    </w:p>
    <w:p w14:paraId="1163D717" w14:textId="4B3A3FBA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72CD4850" w14:textId="1B6C4B94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700AA2BA" w14:textId="1EFF9203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0EE29DB0" w14:textId="673FE8B9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4E214B81" w14:textId="377CD32B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22624456" w14:textId="427F51C5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3989BF42" w14:textId="7B6A5CAA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79F4190C" w14:textId="5AE4E80B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219A5D95" w14:textId="411D3E7D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596D0DD9" w14:textId="4A8B42E5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18957EE4" w14:textId="58FC565E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2FFDC788" w14:textId="0D05ADE8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102EA44F" w14:textId="59F0155A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403E6871" w14:textId="3EC50DF3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p w14:paraId="05B7D88D" w14:textId="7D1A6018" w:rsidR="290F2385" w:rsidRPr="00061F5D" w:rsidRDefault="290F2385" w:rsidP="290F2385">
      <w:pPr>
        <w:rPr>
          <w:rFonts w:ascii="QBE Sans" w:hAnsi="QBE Sans" w:cs="QBE Sans"/>
          <w:b/>
          <w:bCs/>
        </w:rPr>
      </w:pPr>
    </w:p>
    <w:sdt>
      <w:sdtPr>
        <w:rPr>
          <w:rFonts w:ascii="QBE Sans" w:eastAsia="Aptos" w:hAnsi="QBE Sans" w:cs="QBE Sans"/>
          <w:b w:val="0"/>
          <w:bCs w:val="0"/>
          <w:color w:val="222222"/>
          <w:sz w:val="19"/>
          <w:szCs w:val="22"/>
        </w:rPr>
        <w:id w:val="11292081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EE9AE06" w14:textId="3890D9B6" w:rsidR="00C42BD6" w:rsidRPr="00061F5D" w:rsidRDefault="00C42BD6">
          <w:pPr>
            <w:pStyle w:val="TOCHeading"/>
            <w:rPr>
              <w:rFonts w:ascii="QBE Sans" w:hAnsi="QBE Sans" w:cs="QBE Sans"/>
              <w:color w:val="auto"/>
            </w:rPr>
          </w:pPr>
          <w:proofErr w:type="spellStart"/>
          <w:r w:rsidRPr="00061F5D">
            <w:rPr>
              <w:rFonts w:ascii="QBE Sans" w:hAnsi="QBE Sans" w:cs="QBE Sans"/>
              <w:color w:val="auto"/>
            </w:rPr>
            <w:t>Sommario</w:t>
          </w:r>
          <w:proofErr w:type="spellEnd"/>
        </w:p>
        <w:p w14:paraId="70A3E122" w14:textId="09DDA80E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r w:rsidRPr="00061F5D">
            <w:rPr>
              <w:rFonts w:ascii="QBE Sans" w:hAnsi="QBE Sans" w:cs="QBE Sans"/>
            </w:rPr>
            <w:fldChar w:fldCharType="begin"/>
          </w:r>
          <w:r w:rsidRPr="00061F5D">
            <w:rPr>
              <w:rFonts w:ascii="QBE Sans" w:hAnsi="QBE Sans" w:cs="QBE Sans"/>
            </w:rPr>
            <w:instrText xml:space="preserve"> TOC \o "1-3" \h \z \u </w:instrText>
          </w:r>
          <w:r w:rsidRPr="00061F5D">
            <w:rPr>
              <w:rFonts w:ascii="QBE Sans" w:hAnsi="QBE Sans" w:cs="QBE Sans"/>
            </w:rPr>
            <w:fldChar w:fldCharType="separate"/>
          </w:r>
          <w:hyperlink w:anchor="_Toc236648980" w:history="1">
            <w:r w:rsidRPr="00061F5D">
              <w:rPr>
                <w:rStyle w:val="Hyperlink"/>
                <w:rFonts w:ascii="QBE Sans" w:hAnsi="QBE Sans" w:cs="QBE Sans"/>
                <w:noProof/>
                <w:lang w:val="fr-FR"/>
              </w:rPr>
              <w:t>Panoramica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_Toc236648980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3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5A00D64D" w14:textId="56B346BA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81" w:history="1">
            <w:r w:rsidRPr="00061F5D">
              <w:rPr>
                <w:rStyle w:val="Hyperlink"/>
                <w:rFonts w:ascii="QBE Sans" w:hAnsi="QBE Sans" w:cs="QBE Sans"/>
                <w:noProof/>
                <w:lang w:val="fr-FR"/>
              </w:rPr>
              <w:t>Finalità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_Toc236648981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3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6D2A3909" w14:textId="2ECA566B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82" w:history="1">
            <w:r w:rsidRPr="00061F5D">
              <w:rPr>
                <w:rStyle w:val="Hyperlink"/>
                <w:rFonts w:ascii="QBE Sans" w:hAnsi="QBE Sans" w:cs="QBE Sans"/>
                <w:noProof/>
                <w:lang w:val="fr-FR"/>
              </w:rPr>
              <w:t>Ambito di applicazione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_Toc236648982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3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07DB1226" w14:textId="3182EC8E" w:rsidR="00C42BD6" w:rsidRPr="00061F5D" w:rsidRDefault="00C47DBC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83" w:history="1">
            <w:r w:rsidRPr="00061F5D">
              <w:rPr>
                <w:rStyle w:val="Hyperlink"/>
                <w:rFonts w:ascii="QBE Sans" w:hAnsi="QBE Sans" w:cs="QBE Sans"/>
                <w:noProof/>
              </w:rPr>
              <w:t>Policy</w:t>
            </w:r>
            <w:r w:rsidR="00C42BD6" w:rsidRPr="00061F5D">
              <w:rPr>
                <w:rFonts w:ascii="QBE Sans" w:hAnsi="QBE Sans" w:cs="QBE Sans"/>
                <w:noProof/>
                <w:webHidden/>
              </w:rPr>
              <w:tab/>
            </w:r>
            <w:r w:rsidR="00C42BD6"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="00C42BD6" w:rsidRPr="00061F5D">
              <w:rPr>
                <w:rFonts w:ascii="QBE Sans" w:hAnsi="QBE Sans" w:cs="QBE Sans"/>
                <w:noProof/>
                <w:webHidden/>
              </w:rPr>
              <w:instrText xml:space="preserve"> PAGEREF _Toc236648983 \h </w:instrText>
            </w:r>
            <w:r w:rsidR="00C42BD6" w:rsidRPr="00061F5D">
              <w:rPr>
                <w:rFonts w:ascii="QBE Sans" w:hAnsi="QBE Sans" w:cs="QBE Sans"/>
                <w:noProof/>
                <w:webHidden/>
              </w:rPr>
            </w:r>
            <w:r w:rsidR="00C42BD6"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="00C42BD6" w:rsidRPr="00061F5D">
              <w:rPr>
                <w:rFonts w:ascii="QBE Sans" w:hAnsi="QBE Sans" w:cs="QBE Sans"/>
                <w:noProof/>
                <w:webHidden/>
              </w:rPr>
              <w:t>3</w:t>
            </w:r>
            <w:r w:rsidR="00C42BD6"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7A53E34A" w14:textId="513A1254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84" w:history="1">
            <w:r w:rsidRPr="00061F5D">
              <w:rPr>
                <w:rStyle w:val="Hyperlink"/>
                <w:rFonts w:ascii="QBE Sans" w:hAnsi="QBE Sans" w:cs="QBE Sans"/>
                <w:noProof/>
              </w:rPr>
              <w:t>Ruoli e responsabilità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_Toc236648984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3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7F438384" w14:textId="4C89F5DC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85" w:history="1">
            <w:r w:rsidRPr="00061F5D">
              <w:rPr>
                <w:rStyle w:val="Hyperlink"/>
                <w:rFonts w:ascii="QBE Sans" w:hAnsi="QBE Sans" w:cs="QBE Sans"/>
                <w:noProof/>
                <w:lang w:val="fr-FR"/>
              </w:rPr>
              <w:t>Struttura dell'inventario degli asset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_Toc236648985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4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5C19660C" w14:textId="083A8FA8" w:rsidR="00C42BD6" w:rsidRPr="00061F5D" w:rsidRDefault="00C42BD6">
          <w:pPr>
            <w:pStyle w:val="TOC2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86" w:history="1">
            <w:r w:rsidRPr="00061F5D">
              <w:rPr>
                <w:rStyle w:val="Hyperlink"/>
                <w:rFonts w:ascii="QBE Sans" w:hAnsi="QBE Sans" w:cs="QBE Sans"/>
                <w:noProof/>
                <w:lang w:val="fr-FR"/>
              </w:rPr>
              <w:t>Classificazione degli asset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_Toc236648986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4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556CC761" w14:textId="7BD4FB32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87" w:history="1">
            <w:r w:rsidRPr="00061F5D">
              <w:rPr>
                <w:rStyle w:val="Hyperlink"/>
                <w:rFonts w:ascii="QBE Sans" w:hAnsi="QBE Sans" w:cs="QBE Sans"/>
                <w:noProof/>
                <w:lang w:val="fr-FR"/>
              </w:rPr>
              <w:t>Gestione del ciclo di vita degli asset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_Toc236648987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5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4929B917" w14:textId="35BDC3DE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88" w:history="1">
            <w:r w:rsidRPr="00061F5D">
              <w:rPr>
                <w:rStyle w:val="Hyperlink"/>
                <w:rFonts w:ascii="QBE Sans" w:hAnsi="QBE Sans" w:cs="QBE Sans"/>
                <w:noProof/>
                <w:lang w:val="fr-FR"/>
              </w:rPr>
              <w:t>Linee guida per la manutenzione e il mantenimento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_Toc236648988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6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60AE93ED" w14:textId="1BDC277D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89" w:history="1">
            <w:r w:rsidRPr="00061F5D">
              <w:rPr>
                <w:rStyle w:val="Hyperlink"/>
                <w:rFonts w:ascii="QBE Sans" w:hAnsi="QBE Sans" w:cs="QBE Sans"/>
                <w:noProof/>
              </w:rPr>
              <w:t>Uso accettabile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_Toc236648989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6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246DCC82" w14:textId="2481A962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90" w:history="1">
            <w:r w:rsidRPr="00061F5D">
              <w:rPr>
                <w:rStyle w:val="Hyperlink"/>
                <w:rFonts w:ascii="QBE Sans" w:hAnsi="QBE Sans" w:cs="QBE Sans"/>
                <w:noProof/>
              </w:rPr>
              <w:t>Eccezione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_Toc236648990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6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234B4FCD" w14:textId="04BF59F6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91" w:history="1">
            <w:r w:rsidRPr="00061F5D">
              <w:rPr>
                <w:rStyle w:val="Hyperlink"/>
                <w:rFonts w:ascii="QBE Sans" w:hAnsi="QBE Sans" w:cs="QBE Sans"/>
                <w:noProof/>
                <w:lang w:val="fr-FR"/>
              </w:rPr>
              <w:t>Conformità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_Toc236648991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7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1B412445" w14:textId="3BA056BD" w:rsidR="00C42BD6" w:rsidRPr="00061F5D" w:rsidRDefault="00C42BD6">
          <w:pPr>
            <w:pStyle w:val="TOC1"/>
            <w:tabs>
              <w:tab w:val="right" w:leader="dot" w:pos="10214"/>
            </w:tabs>
            <w:rPr>
              <w:rFonts w:ascii="QBE Sans" w:hAnsi="QBE Sans" w:cs="QBE Sans"/>
              <w:noProof/>
            </w:rPr>
          </w:pPr>
          <w:hyperlink w:anchor="_Toc236648992" w:history="1">
            <w:r w:rsidRPr="00061F5D">
              <w:rPr>
                <w:rStyle w:val="Hyperlink"/>
                <w:rFonts w:ascii="QBE Sans" w:hAnsi="QBE Sans" w:cs="QBE Sans"/>
                <w:noProof/>
              </w:rPr>
              <w:t>Appendice: Definizioni</w:t>
            </w:r>
            <w:r w:rsidRPr="00061F5D">
              <w:rPr>
                <w:rFonts w:ascii="QBE Sans" w:hAnsi="QBE Sans" w:cs="QBE Sans"/>
                <w:noProof/>
                <w:webHidden/>
              </w:rPr>
              <w:tab/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begin"/>
            </w:r>
            <w:r w:rsidRPr="00061F5D">
              <w:rPr>
                <w:rFonts w:ascii="QBE Sans" w:hAnsi="QBE Sans" w:cs="QBE Sans"/>
                <w:noProof/>
                <w:webHidden/>
              </w:rPr>
              <w:instrText xml:space="preserve"> PAGEREF _Toc236648992 \h </w:instrText>
            </w:r>
            <w:r w:rsidRPr="00061F5D">
              <w:rPr>
                <w:rFonts w:ascii="QBE Sans" w:hAnsi="QBE Sans" w:cs="QBE Sans"/>
                <w:noProof/>
                <w:webHidden/>
              </w:rPr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separate"/>
            </w:r>
            <w:r w:rsidRPr="00061F5D">
              <w:rPr>
                <w:rFonts w:ascii="QBE Sans" w:hAnsi="QBE Sans" w:cs="QBE Sans"/>
                <w:noProof/>
                <w:webHidden/>
              </w:rPr>
              <w:t>7</w:t>
            </w:r>
            <w:r w:rsidRPr="00061F5D">
              <w:rPr>
                <w:rFonts w:ascii="QBE Sans" w:hAnsi="QBE Sans" w:cs="QBE Sans"/>
                <w:noProof/>
                <w:webHidden/>
              </w:rPr>
              <w:fldChar w:fldCharType="end"/>
            </w:r>
          </w:hyperlink>
        </w:p>
        <w:p w14:paraId="55C5E7DB" w14:textId="112C67BB" w:rsidR="00C42BD6" w:rsidRPr="00061F5D" w:rsidRDefault="00C42BD6">
          <w:pPr>
            <w:rPr>
              <w:rFonts w:ascii="QBE Sans" w:hAnsi="QBE Sans" w:cs="QBE Sans"/>
            </w:rPr>
          </w:pPr>
          <w:r w:rsidRPr="00061F5D">
            <w:rPr>
              <w:rFonts w:ascii="QBE Sans" w:hAnsi="QBE Sans" w:cs="QBE Sans"/>
              <w:b/>
              <w:bCs/>
              <w:noProof/>
            </w:rPr>
            <w:fldChar w:fldCharType="end"/>
          </w:r>
        </w:p>
      </w:sdtContent>
    </w:sdt>
    <w:p w14:paraId="6B9DBBA6" w14:textId="3C5BC51C" w:rsidR="006F2AD5" w:rsidRPr="00061F5D" w:rsidRDefault="006F2AD5" w:rsidP="00C42BD6">
      <w:pPr>
        <w:spacing w:after="20"/>
        <w:ind w:left="216"/>
        <w:rPr>
          <w:rFonts w:ascii="QBE Sans" w:hAnsi="QBE Sans" w:cs="QBE Sans"/>
          <w:lang w:val="fr-FR"/>
        </w:rPr>
      </w:pPr>
    </w:p>
    <w:p w14:paraId="17C1AB0C" w14:textId="77777777" w:rsidR="00C42BD6" w:rsidRPr="00061F5D" w:rsidRDefault="00C42BD6" w:rsidP="00C42BD6">
      <w:pPr>
        <w:spacing w:after="20"/>
        <w:ind w:left="216"/>
        <w:rPr>
          <w:rFonts w:ascii="QBE Sans" w:hAnsi="QBE Sans" w:cs="QBE Sans"/>
          <w:lang w:val="fr-FR"/>
        </w:rPr>
      </w:pPr>
    </w:p>
    <w:p w14:paraId="1F72F646" w14:textId="77777777" w:rsidR="006F2AD5" w:rsidRPr="00061F5D" w:rsidRDefault="001A56C2">
      <w:pPr>
        <w:rPr>
          <w:rFonts w:ascii="QBE Sans" w:hAnsi="QBE Sans" w:cs="QBE Sans"/>
          <w:lang w:val="fr-FR"/>
        </w:rPr>
      </w:pPr>
      <w:r w:rsidRPr="00061F5D">
        <w:rPr>
          <w:rFonts w:ascii="QBE Sans" w:hAnsi="QBE Sans" w:cs="QBE Sans"/>
          <w:lang w:val="fr-FR"/>
        </w:rPr>
        <w:br w:type="page"/>
      </w:r>
    </w:p>
    <w:p w14:paraId="188F0041" w14:textId="02031826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bookmarkStart w:id="0" w:name="_Toc236648980"/>
      <w:r w:rsidRPr="00061F5D">
        <w:rPr>
          <w:rFonts w:ascii="QBE Sans" w:hAnsi="QBE Sans" w:cs="QBE Sans"/>
          <w:color w:val="auto"/>
          <w:lang w:val="it-IT"/>
        </w:rPr>
        <w:lastRenderedPageBreak/>
        <w:t>Panoramica</w:t>
      </w:r>
      <w:bookmarkEnd w:id="0"/>
    </w:p>
    <w:p w14:paraId="1B71370C" w14:textId="4CA39769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si impegna ad adempiere alle proprie responsabilità legali, regolamentari ed etiche per salvaguardare le informazioni personali ("PI") del proprio personale, dei partner e dei clienti. Una gestione efficace degli asset di Information Technology (IT) include il mantenimento di un inventario completo di tutti gli asset IT¹ presenti sulla rete, garantendo visibilità e controllo sull'ambiente IT e implementando misure per prevenire accessi e utilizzi non autorizzati.</w:t>
      </w:r>
    </w:p>
    <w:p w14:paraId="21D98BF0" w14:textId="77777777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bookmarkStart w:id="1" w:name="_Toc236648981"/>
      <w:r w:rsidRPr="00061F5D">
        <w:rPr>
          <w:rFonts w:ascii="QBE Sans" w:hAnsi="QBE Sans" w:cs="QBE Sans"/>
          <w:color w:val="auto"/>
          <w:lang w:val="it-IT"/>
        </w:rPr>
        <w:t>Finalità</w:t>
      </w:r>
      <w:bookmarkEnd w:id="1"/>
    </w:p>
    <w:p w14:paraId="3A40AB83" w14:textId="505FB10B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La presente </w:t>
      </w:r>
      <w:r w:rsidR="00CC6C00" w:rsidRPr="00061F5D">
        <w:rPr>
          <w:rFonts w:ascii="QBE Sans" w:hAnsi="QBE Sans" w:cs="QBE Sans"/>
          <w:lang w:val="it-IT"/>
        </w:rPr>
        <w:t>policy</w:t>
      </w:r>
      <w:r w:rsidRPr="00061F5D">
        <w:rPr>
          <w:rFonts w:ascii="QBE Sans" w:hAnsi="QBE Sans" w:cs="QBE Sans"/>
          <w:lang w:val="it-IT"/>
        </w:rPr>
        <w:t xml:space="preserve"> definisce i requisiti per sviluppare e mantenere un inventario completo degli asset IT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e stabilisce un processo per gestire tali asset lungo tutto il loro ciclo di vita operativo, dall'acquisizione fino alla dismissione o distruzione. Un inventario completo degli asset IT è essenziale per identificare potenziali vulnerabilità e gestire efficacemente il rischio all'interno dell'ambiente IT.</w:t>
      </w:r>
    </w:p>
    <w:p w14:paraId="619CBF0B" w14:textId="77777777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bookmarkStart w:id="2" w:name="_Toc236648982"/>
      <w:r w:rsidRPr="00061F5D">
        <w:rPr>
          <w:rFonts w:ascii="QBE Sans" w:hAnsi="QBE Sans" w:cs="QBE Sans"/>
          <w:color w:val="auto"/>
          <w:lang w:val="it-IT"/>
        </w:rPr>
        <w:t>Ambito di applicazione</w:t>
      </w:r>
      <w:bookmarkEnd w:id="2"/>
    </w:p>
    <w:p w14:paraId="59E15994" w14:textId="5A3A7AB5" w:rsidR="006F2AD5" w:rsidRPr="00061F5D" w:rsidRDefault="001A56C2">
      <w:pPr>
        <w:spacing w:after="120" w:line="259" w:lineRule="auto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La presente </w:t>
      </w:r>
      <w:r w:rsidR="00CC6C00" w:rsidRPr="00061F5D">
        <w:rPr>
          <w:rFonts w:ascii="QBE Sans" w:hAnsi="QBE Sans" w:cs="QBE Sans"/>
          <w:lang w:val="it-IT"/>
        </w:rPr>
        <w:t>policy</w:t>
      </w:r>
      <w:r w:rsidRPr="00061F5D">
        <w:rPr>
          <w:rFonts w:ascii="QBE Sans" w:hAnsi="QBE Sans" w:cs="QBE Sans"/>
          <w:lang w:val="it-IT"/>
        </w:rPr>
        <w:t xml:space="preserve"> si applica a tutti gli asset IT connessi alla rete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],</w:t>
      </w:r>
      <w:r w:rsidRPr="00061F5D">
        <w:rPr>
          <w:rFonts w:ascii="QBE Sans" w:hAnsi="QBE Sans" w:cs="QBE Sans"/>
          <w:lang w:val="it-IT"/>
        </w:rPr>
        <w:t xml:space="preserve"> inclusi, a titolo esemplificativo e non esaustivo, workstation, laptop, tablet, smartphone, server, appliance, switch di rete e router, nonché tutto il software utilizzato su </w:t>
      </w:r>
      <w:r w:rsidRPr="00061F5D">
        <w:rPr>
          <w:rFonts w:ascii="QBE Sans" w:hAnsi="QBE Sans" w:cs="QBE Sans"/>
          <w:color w:val="auto"/>
          <w:lang w:val="it-IT"/>
        </w:rPr>
        <w:t xml:space="preserve">tali dispositivi. Comprende gli asset di proprietà, in leasing o gestiti da 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[</w:t>
      </w:r>
      <w:r w:rsidR="00061F5D" w:rsidRPr="00061F5D">
        <w:rPr>
          <w:rFonts w:ascii="QBE Sans" w:hAnsi="QBE Sans" w:cs="QBE Sans"/>
          <w:color w:val="auto"/>
          <w:highlight w:val="yellow"/>
          <w:lang w:val="it-IT"/>
        </w:rPr>
        <w:t>NOME AZIENDA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].</w:t>
      </w:r>
    </w:p>
    <w:p w14:paraId="0B6F636D" w14:textId="27967D7E" w:rsidR="006F2AD5" w:rsidRPr="00061F5D" w:rsidRDefault="001A56C2">
      <w:pPr>
        <w:spacing w:after="120" w:line="259" w:lineRule="auto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 xml:space="preserve">Il 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[TEAM/</w:t>
      </w:r>
      <w:r w:rsidR="00CC6C00" w:rsidRPr="00061F5D">
        <w:rPr>
          <w:rFonts w:ascii="QBE Sans" w:hAnsi="QBE Sans" w:cs="QBE Sans"/>
          <w:color w:val="auto"/>
          <w:highlight w:val="yellow"/>
          <w:lang w:val="it-IT"/>
        </w:rPr>
        <w:t>DIPARTIMENTO DEDICATO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]</w:t>
      </w:r>
      <w:r w:rsidRPr="00061F5D">
        <w:rPr>
          <w:rFonts w:ascii="QBE Sans" w:hAnsi="QBE Sans" w:cs="QBE Sans"/>
          <w:color w:val="auto"/>
          <w:lang w:val="it-IT"/>
        </w:rPr>
        <w:t xml:space="preserve"> è responsabile dell'aggiunta, dell'aggiornamento o della rimozione degli asset informativi dall'inventario e dalla rete.</w:t>
      </w:r>
    </w:p>
    <w:p w14:paraId="3DC99600" w14:textId="6CAA7309" w:rsidR="006F2AD5" w:rsidRPr="00061F5D" w:rsidRDefault="00CC6C00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>Policy</w:t>
      </w:r>
    </w:p>
    <w:p w14:paraId="14D66844" w14:textId="74D99283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Tutti gli asset IT devono essere identificati, registrati, classificati e gestiti accuratamente in conformità alla presente </w:t>
      </w:r>
      <w:r w:rsidR="00CC6C00" w:rsidRPr="00061F5D">
        <w:rPr>
          <w:rFonts w:ascii="QBE Sans" w:hAnsi="QBE Sans" w:cs="QBE Sans"/>
          <w:color w:val="FF0000"/>
          <w:highlight w:val="yellow"/>
          <w:lang w:val="it-IT"/>
        </w:rPr>
        <w:t>prolicy</w:t>
      </w:r>
      <w:r w:rsidRPr="00061F5D">
        <w:rPr>
          <w:rFonts w:ascii="QBE Sans" w:hAnsi="QBE Sans" w:cs="QBE Sans"/>
          <w:lang w:val="it-IT"/>
        </w:rPr>
        <w:t xml:space="preserve">.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deve garantire che solo gli asset IT catalogati siano autorizzati ad accedere alla rete. Qualsiasi asset IT identificato come non conforme o assente dall'inventario sarà aggiornato per raggiungere la conformità oppure prontamente rimosso dalla rete, utilizzando processi manuali o automatizzati secondo necessità.</w:t>
      </w:r>
    </w:p>
    <w:p w14:paraId="032249C2" w14:textId="77777777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bookmarkStart w:id="3" w:name="_Toc236648984"/>
      <w:r w:rsidRPr="00061F5D">
        <w:rPr>
          <w:rFonts w:ascii="QBE Sans" w:hAnsi="QBE Sans" w:cs="QBE Sans"/>
          <w:color w:val="auto"/>
          <w:lang w:val="it-IT"/>
        </w:rPr>
        <w:t>Ruoli e responsabilità</w:t>
      </w:r>
      <w:bookmarkEnd w:id="3"/>
    </w:p>
    <w:tbl>
      <w:tblPr>
        <w:tblStyle w:val="TableGrid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3093"/>
        <w:gridCol w:w="7331"/>
      </w:tblGrid>
      <w:tr w:rsidR="006F2AD5" w:rsidRPr="00061F5D" w14:paraId="265CADD6" w14:textId="77777777" w:rsidTr="00FD7E83">
        <w:trPr>
          <w:jc w:val="center"/>
        </w:trPr>
        <w:tc>
          <w:tcPr>
            <w:tcW w:w="3096" w:type="dxa"/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BC820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color w:val="FFFFFF"/>
                <w:sz w:val="18"/>
                <w:lang w:val="it-IT"/>
              </w:rPr>
              <w:t>Ruolo</w:t>
            </w:r>
          </w:p>
        </w:tc>
        <w:tc>
          <w:tcPr>
            <w:tcW w:w="7344" w:type="dxa"/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00B60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color w:val="FFFFFF"/>
                <w:sz w:val="18"/>
                <w:lang w:val="it-IT"/>
              </w:rPr>
              <w:t>Responsabilità</w:t>
            </w:r>
          </w:p>
        </w:tc>
      </w:tr>
      <w:tr w:rsidR="006F2AD5" w:rsidRPr="00061F5D" w14:paraId="12CD7C4C" w14:textId="77777777">
        <w:trPr>
          <w:jc w:val="center"/>
        </w:trPr>
        <w:tc>
          <w:tcPr>
            <w:tcW w:w="3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7DC67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highlight w:val="yellow"/>
                <w:lang w:val="it-IT"/>
              </w:rPr>
              <w:t>[Esempio: Consiglio di Amministrazione o Comitato Esecutivo]</w:t>
            </w:r>
          </w:p>
        </w:tc>
        <w:tc>
          <w:tcPr>
            <w:tcW w:w="73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D8144" w14:textId="65702A36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Approvare e promuovere l'applicazione della </w:t>
            </w:r>
            <w:r w:rsidR="00CC6C00"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policy</w:t>
            </w: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 di gestione degli asset.</w:t>
            </w:r>
          </w:p>
          <w:p w14:paraId="02E554DE" w14:textId="241A08A4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Garantire l'assegnazione delle risorse necessarie per un'efficace implementazione della </w:t>
            </w:r>
            <w:r w:rsidR="00C47DBC"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Policy</w:t>
            </w: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.</w:t>
            </w:r>
          </w:p>
          <w:p w14:paraId="633304AF" w14:textId="17A1884C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Riesaminare e approvare le modifiche rilevanti alle </w:t>
            </w:r>
            <w:r w:rsidR="00CC6C00"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policy</w:t>
            </w: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 di gestione degli asset.</w:t>
            </w:r>
          </w:p>
        </w:tc>
      </w:tr>
      <w:tr w:rsidR="006F2AD5" w:rsidRPr="00061F5D" w14:paraId="3BF28923" w14:textId="77777777">
        <w:trPr>
          <w:jc w:val="center"/>
        </w:trPr>
        <w:tc>
          <w:tcPr>
            <w:tcW w:w="3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59968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highlight w:val="yellow"/>
                <w:lang w:val="it-IT"/>
              </w:rPr>
              <w:t>[Esempio: Responsabile Infrastruttura o Information Technology]</w:t>
            </w:r>
          </w:p>
        </w:tc>
        <w:tc>
          <w:tcPr>
            <w:tcW w:w="73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FA24F" w14:textId="0C3932B2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Agire in qualità di responsabile della </w:t>
            </w:r>
            <w:r w:rsidR="00C47DBC"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Policy</w:t>
            </w: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 e supervisionare lo sviluppo e la manutenzione dell'inventario degli asset IT.</w:t>
            </w:r>
          </w:p>
          <w:p w14:paraId="643F90C9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Condurre revisioni periodiche dell'inventario degli asset IT per identificare e affrontare i rischi associati alla non conformità.</w:t>
            </w:r>
          </w:p>
          <w:p w14:paraId="450B07AE" w14:textId="39FB9CEF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Garantire l'allineamento della </w:t>
            </w:r>
            <w:r w:rsidR="000C43DE"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policy </w:t>
            </w: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agli obiettivi strategici di business e ai requisiti legali e regolamentari.</w:t>
            </w:r>
          </w:p>
          <w:p w14:paraId="5519EF0B" w14:textId="706F4AF2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Facilitare e gestire il processo di dismissione o restituzione degli asset IT in conformità alla </w:t>
            </w:r>
            <w:r w:rsidR="00C47DBC"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Policy</w:t>
            </w: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.</w:t>
            </w:r>
          </w:p>
        </w:tc>
      </w:tr>
      <w:tr w:rsidR="006F2AD5" w:rsidRPr="00061F5D" w14:paraId="5391863C" w14:textId="77777777">
        <w:trPr>
          <w:jc w:val="center"/>
        </w:trPr>
        <w:tc>
          <w:tcPr>
            <w:tcW w:w="3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5C9985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highlight w:val="yellow"/>
                <w:lang w:val="it-IT"/>
              </w:rPr>
              <w:t>[Esempio: Proprietari degli asset di business]</w:t>
            </w:r>
          </w:p>
        </w:tc>
        <w:tc>
          <w:tcPr>
            <w:tcW w:w="73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CAD13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Agire in qualità di proprietari degli asset IT.</w:t>
            </w:r>
          </w:p>
          <w:p w14:paraId="2F5167CC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Gestire l'uso quotidiano e la protezione degli asset IT assegnati all'interno delle rispettive unità aziendali.</w:t>
            </w:r>
          </w:p>
          <w:p w14:paraId="45443CE0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 xml:space="preserve">Garantire che tutti gli asset IT assegnati siano registrati, classificati e conformi alle politiche di </w:t>
            </w: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lastRenderedPageBreak/>
              <w:t>gestione degli asset.</w:t>
            </w:r>
          </w:p>
          <w:p w14:paraId="4CA775DE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Segnalare discrepanze o problematiche di non conformità relative alla gestione degli asset IT al [Responsabile della Funzione Sicurezza delle Informazioni].</w:t>
            </w:r>
          </w:p>
          <w:p w14:paraId="0CAD4680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color w:val="auto"/>
                <w:lang w:val="it-IT"/>
              </w:rPr>
            </w:pPr>
            <w:r w:rsidRPr="00061F5D">
              <w:rPr>
                <w:rFonts w:ascii="QBE Sans" w:hAnsi="QBE Sans" w:cs="QBE Sans"/>
                <w:color w:val="auto"/>
                <w:sz w:val="17"/>
                <w:lang w:val="it-IT"/>
              </w:rPr>
              <w:t>Implementare procedure per valutazioni periodiche delle condizioni e delle prestazioni degli asset.</w:t>
            </w:r>
          </w:p>
        </w:tc>
      </w:tr>
      <w:tr w:rsidR="006F2AD5" w:rsidRPr="00061F5D" w14:paraId="02D13202" w14:textId="77777777">
        <w:trPr>
          <w:jc w:val="center"/>
        </w:trPr>
        <w:tc>
          <w:tcPr>
            <w:tcW w:w="3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DEB6CA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highlight w:val="yellow"/>
                <w:lang w:val="it-IT"/>
              </w:rPr>
              <w:lastRenderedPageBreak/>
              <w:t>[Esempio: Funzione Sicurezza delle Informazioni]</w:t>
            </w:r>
          </w:p>
        </w:tc>
        <w:tc>
          <w:tcPr>
            <w:tcW w:w="73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22022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Identificare e valutare i rischi di sicurezza associati agli asset IT e proporre strategie di mitigazione.</w:t>
            </w:r>
          </w:p>
          <w:p w14:paraId="07205C1C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Garantire che gli asset IT siano conformi agli standard e ai requisiti di sicurezza aziendali.</w:t>
            </w:r>
          </w:p>
          <w:p w14:paraId="263E59A3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Condurre valutazioni delle vulnerabilità e del rischio di sicurezza sugli asset IT per identificare debolezze e prioritizzare le attività di rimedio.</w:t>
            </w:r>
          </w:p>
          <w:p w14:paraId="390ABA74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Definire e far rispettare misure di controllo degli accessi per garantire accessi autorizzati agli asset IT.</w:t>
            </w:r>
          </w:p>
        </w:tc>
      </w:tr>
      <w:tr w:rsidR="006F2AD5" w:rsidRPr="00061F5D" w14:paraId="2F94C429" w14:textId="77777777">
        <w:trPr>
          <w:jc w:val="center"/>
        </w:trPr>
        <w:tc>
          <w:tcPr>
            <w:tcW w:w="3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CB85E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t>Utenti finali e Terze Parti</w:t>
            </w:r>
          </w:p>
        </w:tc>
        <w:tc>
          <w:tcPr>
            <w:tcW w:w="73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4A2FF" w14:textId="72B16A64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 xml:space="preserve">Gestire e utilizzare in modo sicuro gli asset IT aziendali in conformità alla </w:t>
            </w:r>
            <w:r w:rsidR="00C47DBC" w:rsidRPr="00061F5D">
              <w:rPr>
                <w:rFonts w:ascii="QBE Sans" w:hAnsi="QBE Sans" w:cs="QBE Sans"/>
                <w:sz w:val="17"/>
                <w:lang w:val="it-IT"/>
              </w:rPr>
              <w:t>Policy</w:t>
            </w:r>
            <w:r w:rsidRPr="00061F5D">
              <w:rPr>
                <w:rFonts w:ascii="QBE Sans" w:hAnsi="QBE Sans" w:cs="QBE Sans"/>
                <w:sz w:val="17"/>
                <w:lang w:val="it-IT"/>
              </w:rPr>
              <w:t>.</w:t>
            </w:r>
          </w:p>
          <w:p w14:paraId="11BF141D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Attenersi alle pratiche e alle linee guida di sicurezza per prevenire accessi non autorizzati o usi impropri degli asset IT.</w:t>
            </w:r>
          </w:p>
          <w:p w14:paraId="1AA3F4A5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Segnalare tempestivamente eventuali incidenti relativi a perdita, danneggiamento o sicurezza degli asset.</w:t>
            </w:r>
          </w:p>
          <w:p w14:paraId="1BD4C45E" w14:textId="77777777" w:rsidR="006F2AD5" w:rsidRPr="00061F5D" w:rsidRDefault="001A56C2">
            <w:pPr>
              <w:pStyle w:val="ListBullet"/>
              <w:spacing w:after="40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Garantire la corretta restituzione degli asset IT al termine dell'utilizzo o del rapporto di lavoro.</w:t>
            </w:r>
          </w:p>
        </w:tc>
      </w:tr>
    </w:tbl>
    <w:p w14:paraId="4A52E58F" w14:textId="77777777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bookmarkStart w:id="4" w:name="_Toc236648985"/>
      <w:r w:rsidRPr="00061F5D">
        <w:rPr>
          <w:rFonts w:ascii="QBE Sans" w:hAnsi="QBE Sans" w:cs="QBE Sans"/>
          <w:color w:val="auto"/>
          <w:lang w:val="it-IT"/>
        </w:rPr>
        <w:t>Struttura dell'inventario degli asset</w:t>
      </w:r>
      <w:bookmarkEnd w:id="4"/>
    </w:p>
    <w:p w14:paraId="3505708F" w14:textId="1B360052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L'inventario degli asset IT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è un registro organizzato di tutti gli asset gestiti, progettato per consentire un accesso semplice e un recupero efficiente delle informazioni. L'inventario deve essere strutturato includendo i seguenti dettagli:</w:t>
      </w:r>
    </w:p>
    <w:p w14:paraId="477C6019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Hardware: ubicazione dell'asset, tipologia, identificativo univoco, dati trattati, criticità, funzione aziendale e proprietario. Tali informazioni devono essere incluse in fase di onboarding dell'asset, e le modifiche alla titolarità dell'asset devono essere riflesse immediatamente nell'inventario.</w:t>
      </w:r>
    </w:p>
    <w:p w14:paraId="4AE0958E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Software: nome, versione, fornitore, dati trattati, criticità, funzione aziendale, proprietario, stato delle patch, publisher, data di installazione, data di scadenza e data di fine supporto. Tali informazioni devono essere incluse in fase di onboarding dell'asset, e le modifiche alla titolarità dell'asset devono essere riflesse immediatamente nell'inventario.</w:t>
      </w:r>
    </w:p>
    <w:p w14:paraId="37C82605" w14:textId="5DAFB4C4" w:rsidR="006F2AD5" w:rsidRPr="00061F5D" w:rsidRDefault="001A56C2">
      <w:pPr>
        <w:pStyle w:val="ListBullet"/>
        <w:spacing w:after="80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 xml:space="preserve">Asset di Terze Parti/Fornitori: gli asset IT non gestiti devono essere registrati e, ove possibile, segmentati separatamente dalle risorse aziendali. Il </w:t>
      </w:r>
      <w:r w:rsidR="00647312" w:rsidRPr="00061F5D">
        <w:rPr>
          <w:rFonts w:ascii="QBE Sans" w:hAnsi="QBE Sans" w:cs="QBE Sans"/>
          <w:color w:val="auto"/>
          <w:lang w:val="it-IT"/>
        </w:rPr>
        <w:t>[</w:t>
      </w:r>
      <w:r w:rsidR="00C47DBC" w:rsidRPr="00061F5D">
        <w:rPr>
          <w:rFonts w:ascii="QBE Sans" w:hAnsi="QBE Sans" w:cs="QBE Sans"/>
          <w:color w:val="auto"/>
          <w:highlight w:val="yellow"/>
          <w:lang w:val="it-IT"/>
        </w:rPr>
        <w:t>TEAM/DIPARTIMENTO DEDICATO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]</w:t>
      </w:r>
      <w:r w:rsidRPr="00061F5D">
        <w:rPr>
          <w:rFonts w:ascii="QBE Sans" w:hAnsi="QBE Sans" w:cs="QBE Sans"/>
          <w:color w:val="auto"/>
          <w:lang w:val="it-IT"/>
        </w:rPr>
        <w:t xml:space="preserve"> deve collaborare con i proprietari degli asset per garantire l'applicazione tempestiva di patch e correzioni, riducendo il rischio organizzativo e mantenendo la conformità agli standard di sicurezza.</w:t>
      </w:r>
    </w:p>
    <w:p w14:paraId="56A003B0" w14:textId="77777777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lang w:val="it-IT"/>
        </w:rPr>
      </w:pPr>
      <w:bookmarkStart w:id="5" w:name="_Toc236648986"/>
      <w:r w:rsidRPr="00061F5D">
        <w:rPr>
          <w:rFonts w:ascii="QBE Sans" w:hAnsi="QBE Sans" w:cs="QBE Sans"/>
          <w:color w:val="auto"/>
          <w:lang w:val="it-IT"/>
        </w:rPr>
        <w:t>Classificazione</w:t>
      </w:r>
      <w:r w:rsidRPr="00061F5D">
        <w:rPr>
          <w:rFonts w:ascii="QBE Sans" w:hAnsi="QBE Sans" w:cs="QBE Sans"/>
          <w:lang w:val="it-IT"/>
        </w:rPr>
        <w:t xml:space="preserve"> degli asset</w:t>
      </w:r>
      <w:bookmarkEnd w:id="5"/>
    </w:p>
    <w:p w14:paraId="23659A51" w14:textId="77777777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Ogni asset presente nell'inventario deve essere categorizzato in base alla propria criticità, tenendo conto di vari criteri di classificazione, inclusi, a titolo esemplificativo e non esaustivo:</w:t>
      </w:r>
    </w:p>
    <w:p w14:paraId="745351C0" w14:textId="453EA0FC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Rating di riservatezza: il livello di sensibilità associato alle informazioni contenute nell'asset, allineato alla </w:t>
      </w:r>
      <w:r w:rsidR="00C47DBC" w:rsidRPr="00061F5D">
        <w:rPr>
          <w:rFonts w:ascii="QBE Sans" w:hAnsi="QBE Sans" w:cs="QBE Sans"/>
          <w:lang w:val="it-IT"/>
        </w:rPr>
        <w:t>Policy</w:t>
      </w:r>
      <w:r w:rsidRPr="00061F5D">
        <w:rPr>
          <w:rFonts w:ascii="QBE Sans" w:hAnsi="QBE Sans" w:cs="QBE Sans"/>
          <w:lang w:val="it-IT"/>
        </w:rPr>
        <w:t xml:space="preserve"> di Classificazione dei Dati.</w:t>
      </w:r>
    </w:p>
    <w:p w14:paraId="65AADC26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Rating di integrità: l'importanza di mantenere accuratezza e affidabilità dell'asset.</w:t>
      </w:r>
    </w:p>
    <w:p w14:paraId="6CAE6C99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Rating di disponibilità: la necessità che l'asset sia accessibile quando richiesto.</w:t>
      </w:r>
    </w:p>
    <w:p w14:paraId="6C8616D1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Presenza di informazioni personali identificabili (PII): se l'asset contiene PII, richiedendo misure aggiuntive di conformità e protezione.</w:t>
      </w:r>
    </w:p>
    <w:p w14:paraId="5E8B546B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Impatto operativo: l'effetto sulle operazioni aziendali qualora l'asset sia compromesso, non disponibile o deteriorato.</w:t>
      </w:r>
    </w:p>
    <w:p w14:paraId="764287C5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lastRenderedPageBreak/>
        <w:t>Requisiti di conformità: standard legali, regolamentari e di settore applicabili all'asset, per garantire l'adempimento degli obblighi pertinenti.</w:t>
      </w:r>
    </w:p>
    <w:p w14:paraId="1BC10AB4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lang w:val="it-IT"/>
        </w:rPr>
        <w:t>L'inventario degli asset e il relativo punteggio di classificazione devono essere sottoposti a revisione approfondita con i proprietari degli asset su base annuale per mantenerne accuratezza e pertinenza. Ulteriori revisioni possono essere attivate da cambiamenti significativi nelle operazioni organizzative, innovazioni tecnologiche o in risposta a incidenti di sicurezza.</w:t>
      </w:r>
    </w:p>
    <w:p w14:paraId="2D710D97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>I proprietari degli asset e gli stakeholder pertinenti sono responsabili della manutenzione continua e dell'aggiornamento tempestivo delle informazioni sugli asset. È essenziale che collaborino affinché l'inventario rifletta lo stato corrente di tutti gli asset organizzativi.</w:t>
      </w:r>
    </w:p>
    <w:p w14:paraId="70D87D11" w14:textId="72AC7920" w:rsidR="006F2AD5" w:rsidRPr="00061F5D" w:rsidRDefault="001A56C2">
      <w:pPr>
        <w:pStyle w:val="ListBullet"/>
        <w:spacing w:after="80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 xml:space="preserve">Il framework di classificazione degli asset deve essere integrato con le altre </w:t>
      </w:r>
      <w:r w:rsidR="00647312" w:rsidRPr="00061F5D">
        <w:rPr>
          <w:rFonts w:ascii="QBE Sans" w:hAnsi="QBE Sans" w:cs="QBE Sans"/>
          <w:color w:val="auto"/>
          <w:lang w:val="it-IT"/>
        </w:rPr>
        <w:t>policy</w:t>
      </w:r>
      <w:r w:rsidRPr="00061F5D">
        <w:rPr>
          <w:rFonts w:ascii="QBE Sans" w:hAnsi="QBE Sans" w:cs="QBE Sans"/>
          <w:color w:val="auto"/>
          <w:lang w:val="it-IT"/>
        </w:rPr>
        <w:t xml:space="preserve"> di sicurezza delle informazioni e di gestione del rischio per garantire operazioni coerenti.</w:t>
      </w:r>
    </w:p>
    <w:p w14:paraId="3679A746" w14:textId="77777777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bookmarkStart w:id="6" w:name="_Toc236648987"/>
      <w:r w:rsidRPr="00061F5D">
        <w:rPr>
          <w:rFonts w:ascii="QBE Sans" w:hAnsi="QBE Sans" w:cs="QBE Sans"/>
          <w:color w:val="auto"/>
          <w:lang w:val="it-IT"/>
        </w:rPr>
        <w:t>Gestione del ciclo di vita degli asset</w:t>
      </w:r>
      <w:bookmarkEnd w:id="6"/>
    </w:p>
    <w:p w14:paraId="11C54093" w14:textId="66CDEC77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La gestione del ciclo di vita degli asset supporta la supervisione strategica degli asset dall'acquisizione all'uso attivo, alla manutenzione e alla dismissione finale. Questo approccio garantisce utilizzo, efficienza dei costi e sicurezza degli asset IT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durante l'intero ciclo di vita.</w:t>
      </w:r>
    </w:p>
    <w:p w14:paraId="11DAC1D2" w14:textId="77777777" w:rsidR="006F2AD5" w:rsidRPr="00061F5D" w:rsidRDefault="001A56C2">
      <w:pPr>
        <w:spacing w:before="160" w:after="6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b/>
          <w:color w:val="3D403D"/>
          <w:lang w:val="it-IT"/>
        </w:rPr>
        <w:t>Acquisizione</w:t>
      </w:r>
    </w:p>
    <w:p w14:paraId="52E51383" w14:textId="57E84564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Tutti gli asset IT devono essere acquisiti tramite il processo di procurement approvato da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prima di essere registrati nell'inventario degli asset IT per un tracciamento efficace.</w:t>
      </w:r>
    </w:p>
    <w:p w14:paraId="7F161D1D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Tutti gli asset IT devono essere verificati e mantenuti in conformità agli accordi di licenza applicabili.</w:t>
      </w:r>
    </w:p>
    <w:p w14:paraId="27869D52" w14:textId="13E3D009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Tutti gli asset IT devono essere classificati in base alla loro sensibilità e al loro valore, in conformità agli </w:t>
      </w:r>
      <w:r w:rsidRPr="00061F5D">
        <w:rPr>
          <w:rFonts w:ascii="QBE Sans" w:hAnsi="QBE Sans" w:cs="QBE Sans"/>
          <w:highlight w:val="yellow"/>
          <w:lang w:val="it-IT"/>
        </w:rPr>
        <w:t>[STANDARD/PROCEDURE]</w:t>
      </w:r>
      <w:r w:rsidRPr="00061F5D">
        <w:rPr>
          <w:rFonts w:ascii="QBE Sans" w:hAnsi="QBE Sans" w:cs="QBE Sans"/>
          <w:lang w:val="it-IT"/>
        </w:rPr>
        <w:t xml:space="preserve">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].</w:t>
      </w:r>
    </w:p>
    <w:p w14:paraId="2FB4523E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Devono essere definiti contratti e accordi chiari con fornitori terzi per stabilire termini, garanzie e aspettative di servizio, inclusi gli accordi sui livelli di servizio (SLA) ove applicabile.</w:t>
      </w:r>
    </w:p>
    <w:p w14:paraId="5785971D" w14:textId="0633DDC6" w:rsidR="006F2AD5" w:rsidRPr="00061F5D" w:rsidRDefault="001A56C2">
      <w:pPr>
        <w:pStyle w:val="ListBullet"/>
        <w:spacing w:after="80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Il 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[</w:t>
      </w:r>
      <w:r w:rsidR="00647312" w:rsidRPr="00061F5D">
        <w:rPr>
          <w:rFonts w:ascii="QBE Sans" w:hAnsi="QBE Sans" w:cs="QBE Sans"/>
          <w:color w:val="auto"/>
          <w:highlight w:val="yellow"/>
          <w:lang w:val="it-IT"/>
        </w:rPr>
        <w:t>TEAM/DIPARTIMENTO DEDICATO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]</w:t>
      </w:r>
      <w:r w:rsidRPr="00061F5D">
        <w:rPr>
          <w:rFonts w:ascii="QBE Sans" w:hAnsi="QBE Sans" w:cs="QBE Sans"/>
          <w:color w:val="auto"/>
          <w:lang w:val="it-IT"/>
        </w:rPr>
        <w:t xml:space="preserve"> deve condurre valutazioni del rischio per valutare potenziali vulnerabilità o rischi della catena di fornitura associati alle nuove acquisizioni.</w:t>
      </w:r>
    </w:p>
    <w:p w14:paraId="6F3E232C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 xml:space="preserve">Deve essere condotta un'analisi </w:t>
      </w:r>
      <w:r w:rsidRPr="00061F5D">
        <w:rPr>
          <w:rFonts w:ascii="QBE Sans" w:hAnsi="QBE Sans" w:cs="QBE Sans"/>
          <w:lang w:val="it-IT"/>
        </w:rPr>
        <w:t>di mercato per sfruttare efficienze di costo e promuovere pratiche di approvvigionamento sostenibili.</w:t>
      </w:r>
    </w:p>
    <w:p w14:paraId="162B3026" w14:textId="77777777" w:rsidR="006F2AD5" w:rsidRPr="00061F5D" w:rsidRDefault="001A56C2">
      <w:pPr>
        <w:spacing w:before="160" w:after="6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b/>
          <w:color w:val="3D403D"/>
          <w:lang w:val="it-IT"/>
        </w:rPr>
        <w:t>Distribuzione</w:t>
      </w:r>
    </w:p>
    <w:p w14:paraId="12CD6500" w14:textId="029FA6E4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Tutti gli asset IT devono essere distribuiti in conformità al processo di change management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per mitigare le interruzioni.</w:t>
      </w:r>
    </w:p>
    <w:p w14:paraId="4DF0BAD4" w14:textId="37DAB3EC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Tutti gli asset IT devono essere testati e approvati dal Comitato di Change Management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prima della distribuzione.</w:t>
      </w:r>
    </w:p>
    <w:p w14:paraId="65C8E405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Tutti gli asset IT devono essere installati utilizzando le procedure di installazione appropriate del fornitore.</w:t>
      </w:r>
    </w:p>
    <w:p w14:paraId="26C313F6" w14:textId="77777777" w:rsidR="006F2AD5" w:rsidRPr="00061F5D" w:rsidRDefault="001A56C2">
      <w:pPr>
        <w:spacing w:before="160" w:after="6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b/>
          <w:color w:val="3D403D"/>
          <w:lang w:val="it-IT"/>
        </w:rPr>
        <w:t>Utilizzo e manutenzione</w:t>
      </w:r>
    </w:p>
    <w:p w14:paraId="57014125" w14:textId="02E1F13E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Tutti gli asset IT devono essere gestiti in conformità alla loro classificazione, secondo lo Standard di Classificazione dei Dati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].</w:t>
      </w:r>
    </w:p>
    <w:p w14:paraId="65D3619B" w14:textId="1428D22C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Tutti gli asset IT devono essere sottoposti regolarmente a valutazione del rischio per vulnerabilità e minacce e aggiornati con le patch di sicurezza più recenti, in conformità alla </w:t>
      </w:r>
      <w:r w:rsidR="00C47DBC" w:rsidRPr="00061F5D">
        <w:rPr>
          <w:rFonts w:ascii="QBE Sans" w:hAnsi="QBE Sans" w:cs="QBE Sans"/>
          <w:lang w:val="it-IT"/>
        </w:rPr>
        <w:t>Policy</w:t>
      </w:r>
      <w:r w:rsidRPr="00061F5D">
        <w:rPr>
          <w:rFonts w:ascii="QBE Sans" w:hAnsi="QBE Sans" w:cs="QBE Sans"/>
          <w:lang w:val="it-IT"/>
        </w:rPr>
        <w:t xml:space="preserve"> di Vulnerability e Patch Management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].</w:t>
      </w:r>
    </w:p>
    <w:p w14:paraId="314CFC78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Tutti gli asset IT devono essere monitorati e le loro prestazioni documentate ai fini della manutenzione.</w:t>
      </w:r>
    </w:p>
    <w:p w14:paraId="2BABDB90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Per tutti gli asset IT devono essere documentate le attività di manutenzione, incluse date e azioni intraprese.</w:t>
      </w:r>
    </w:p>
    <w:p w14:paraId="0CC60B14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Deve essere in essere un sistema di supporto consolidato per consentire agli utenti di segnalare problematiche relative agli asset e ricevere assistenza tempestiva.</w:t>
      </w:r>
    </w:p>
    <w:p w14:paraId="2CE21322" w14:textId="75B54661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lastRenderedPageBreak/>
        <w:t xml:space="preserve">Tutti i dipendenti e le terze parti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devono restituire gli asset aziendali in caso di cambiamento o cessazione del rapporto di lavoro o dei contratti.</w:t>
      </w:r>
    </w:p>
    <w:p w14:paraId="1E9C1F68" w14:textId="77777777" w:rsidR="006F2AD5" w:rsidRPr="00061F5D" w:rsidRDefault="001A56C2">
      <w:pPr>
        <w:spacing w:before="160" w:after="6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b/>
          <w:color w:val="3D403D"/>
          <w:lang w:val="it-IT"/>
        </w:rPr>
        <w:t>Dismissione sicura</w:t>
      </w:r>
    </w:p>
    <w:p w14:paraId="22B5BD55" w14:textId="012F2191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deve mantenere principi relativi alla dismissione sicura degli asset IT per prevenire il recupero o la ricostruzione dei dati.</w:t>
      </w:r>
    </w:p>
    <w:p w14:paraId="740B8DEE" w14:textId="689D477D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Tutti gli asset IT contenenti informazioni sensibili devono essere dismessi in modo proporzionato al relativo livello di sensibilità, secondo lo Standard di Classificazione dei Dati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].</w:t>
      </w:r>
    </w:p>
    <w:p w14:paraId="168843E6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Tutti gli asset IT devono essere conservati solo per il tempo necessario a soddisfare gli obiettivi aziendali e i requisiti legali e regolamentari.</w:t>
      </w:r>
    </w:p>
    <w:p w14:paraId="38988BB2" w14:textId="14857D35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deve mantenere principi rigorosi in materia di dismissione sicura degli asset IT. Ciò include l'aderenza a un processo approfondito di sanitizzazione prima della dismissione dell'asset, per garantire che i dati non possano essere recuperati, ricostruiti o consultati dopo la dismissione. Ove necessario,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può avvalersi di un servizio terzo fidato per la dismissione degli asset.</w:t>
      </w:r>
    </w:p>
    <w:p w14:paraId="5C1D2E60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Devono essere mantenute registrazioni degli asset dismessi, dettagliando i metodi di dismissione in conformità ai requisiti aziendali, legali e regolamentari.</w:t>
      </w:r>
    </w:p>
    <w:p w14:paraId="0263C7F8" w14:textId="6542646A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bookmarkStart w:id="7" w:name="_Toc236648988"/>
      <w:r w:rsidRPr="00061F5D">
        <w:rPr>
          <w:rFonts w:ascii="QBE Sans" w:hAnsi="QBE Sans" w:cs="QBE Sans"/>
          <w:color w:val="auto"/>
          <w:lang w:val="it-IT"/>
        </w:rPr>
        <w:t xml:space="preserve">Linee guida per la manutenzione e </w:t>
      </w:r>
      <w:bookmarkEnd w:id="7"/>
      <w:r w:rsidR="00D30F1E" w:rsidRPr="00061F5D">
        <w:rPr>
          <w:rFonts w:ascii="QBE Sans" w:hAnsi="QBE Sans" w:cs="QBE Sans"/>
          <w:color w:val="auto"/>
          <w:lang w:val="it-IT"/>
        </w:rPr>
        <w:t>gestione</w:t>
      </w:r>
    </w:p>
    <w:p w14:paraId="66DA8028" w14:textId="4BB27E5A" w:rsidR="006F2AD5" w:rsidRPr="00061F5D" w:rsidRDefault="001A56C2" w:rsidP="00D30F1E">
      <w:pPr>
        <w:tabs>
          <w:tab w:val="left" w:pos="4820"/>
        </w:tabs>
        <w:spacing w:after="120" w:line="259" w:lineRule="auto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 xml:space="preserve">Devono essere </w:t>
      </w:r>
      <w:r w:rsidR="00D30F1E" w:rsidRPr="00061F5D">
        <w:rPr>
          <w:rFonts w:ascii="QBE Sans" w:hAnsi="QBE Sans" w:cs="QBE Sans"/>
          <w:color w:val="auto"/>
          <w:lang w:val="it-IT"/>
        </w:rPr>
        <w:t xml:space="preserve">predisposte procedure adeguate per garantire </w:t>
      </w:r>
      <w:r w:rsidRPr="00061F5D">
        <w:rPr>
          <w:rFonts w:ascii="QBE Sans" w:hAnsi="QBE Sans" w:cs="QBE Sans"/>
          <w:color w:val="auto"/>
          <w:lang w:val="it-IT"/>
        </w:rPr>
        <w:t xml:space="preserve">che l'inventario sia riesaminato almeno annualmente, </w:t>
      </w:r>
      <w:r w:rsidR="00D30F1E" w:rsidRPr="00061F5D">
        <w:rPr>
          <w:rFonts w:ascii="QBE Sans" w:hAnsi="QBE Sans" w:cs="QBE Sans"/>
          <w:color w:val="auto"/>
          <w:lang w:val="it-IT"/>
        </w:rPr>
        <w:t xml:space="preserve">al fine di assicurarne l’accuratezza e la corrispondenza con </w:t>
      </w:r>
      <w:r w:rsidRPr="00061F5D">
        <w:rPr>
          <w:rFonts w:ascii="QBE Sans" w:hAnsi="QBE Sans" w:cs="QBE Sans"/>
          <w:color w:val="auto"/>
          <w:lang w:val="it-IT"/>
        </w:rPr>
        <w:t>eventuali acquisizioni, dismissioni o modifiche. Le seguenti linee guida forniscono un quadro di riferimento per la manutenzione e la gestione di tutti gli asset IT:</w:t>
      </w:r>
    </w:p>
    <w:p w14:paraId="46F44FC5" w14:textId="77777777" w:rsidR="006F2AD5" w:rsidRPr="00061F5D" w:rsidRDefault="001A56C2">
      <w:pPr>
        <w:spacing w:before="160" w:after="60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b/>
          <w:color w:val="auto"/>
          <w:lang w:val="it-IT"/>
        </w:rPr>
        <w:t>Manutenzione programmata</w:t>
      </w:r>
    </w:p>
    <w:p w14:paraId="439AC20A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>Sviluppare piani di manutenzione per tutti gli asset IT al fine di prevenire proattivamente guasti inattesi.</w:t>
      </w:r>
    </w:p>
    <w:p w14:paraId="6B8AF162" w14:textId="70D33CB0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 xml:space="preserve">Utilizzare contratti di servizio e accordi di manutenzione con i fornitori per soddisfare le esigenze di manutenzione. </w:t>
      </w:r>
      <w:r w:rsidR="00D30F1E" w:rsidRPr="00061F5D">
        <w:rPr>
          <w:rFonts w:ascii="QBE Sans" w:hAnsi="QBE Sans" w:cs="QBE Sans"/>
          <w:color w:val="auto"/>
          <w:lang w:val="it-IT"/>
        </w:rPr>
        <w:t>Quando si ricorre a servizi di manutenzione</w:t>
      </w:r>
      <w:r w:rsidRPr="00061F5D">
        <w:rPr>
          <w:rFonts w:ascii="QBE Sans" w:hAnsi="QBE Sans" w:cs="QBE Sans"/>
          <w:color w:val="auto"/>
          <w:lang w:val="it-IT"/>
        </w:rPr>
        <w:t xml:space="preserve"> di terze parti, valutare e selezionare i fornitori in base alla loro competenza e affidabilità. Gestire il supporto </w:t>
      </w:r>
      <w:r w:rsidRPr="00061F5D">
        <w:rPr>
          <w:rFonts w:ascii="QBE Sans" w:hAnsi="QBE Sans" w:cs="QBE Sans"/>
          <w:lang w:val="it-IT"/>
        </w:rPr>
        <w:t xml:space="preserve">di terze parti in conformità alla </w:t>
      </w:r>
      <w:r w:rsidRPr="00061F5D">
        <w:rPr>
          <w:rFonts w:ascii="QBE Sans" w:hAnsi="QBE Sans" w:cs="QBE Sans"/>
          <w:highlight w:val="yellow"/>
          <w:lang w:val="it-IT"/>
        </w:rPr>
        <w:t>[POLICY NAME]</w:t>
      </w:r>
      <w:r w:rsidRPr="00061F5D">
        <w:rPr>
          <w:rFonts w:ascii="QBE Sans" w:hAnsi="QBE Sans" w:cs="QBE Sans"/>
          <w:lang w:val="it-IT"/>
        </w:rPr>
        <w:t xml:space="preserve">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].</w:t>
      </w:r>
    </w:p>
    <w:p w14:paraId="56EC9B48" w14:textId="77777777" w:rsidR="006F2AD5" w:rsidRPr="00061F5D" w:rsidRDefault="001A56C2">
      <w:pPr>
        <w:spacing w:before="160" w:after="6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b/>
          <w:color w:val="3D403D"/>
          <w:lang w:val="it-IT"/>
        </w:rPr>
        <w:t>Reporting e documentazione</w:t>
      </w:r>
    </w:p>
    <w:p w14:paraId="374F2C2E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Registrare tutte le attività di manutenzione nell'inventario degli asset IT, includendo data, natura della manutenzione, tecnico coinvolto e costi associati.</w:t>
      </w:r>
    </w:p>
    <w:p w14:paraId="22B3EE69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Generare report di manutenzione per valutare l'utilizzo degli asset IT, tracciare le attività di manutenzione e valutare la conformità ai requisiti di manutenzione.</w:t>
      </w:r>
    </w:p>
    <w:p w14:paraId="2D518D55" w14:textId="77777777" w:rsidR="006F2AD5" w:rsidRPr="00061F5D" w:rsidRDefault="001A56C2">
      <w:pPr>
        <w:spacing w:before="160" w:after="6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b/>
          <w:color w:val="3D403D"/>
          <w:lang w:val="it-IT"/>
        </w:rPr>
        <w:t>Audit e verifica</w:t>
      </w:r>
    </w:p>
    <w:p w14:paraId="194B7296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Condurre audit fisici annuali e riconciliazioni degli asset per garantire l'affidabilità e l'integrità delle registrazioni di inventario.</w:t>
      </w:r>
    </w:p>
    <w:p w14:paraId="0A22DDCD" w14:textId="77777777" w:rsidR="006F2AD5" w:rsidRPr="00061F5D" w:rsidRDefault="001A56C2">
      <w:pPr>
        <w:pStyle w:val="ListBullet"/>
        <w:spacing w:after="8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Tali audit devono verificare l'accuratezza delle registrazioni, identificare discrepanze e garantire la conformità agli accordi di licenza.</w:t>
      </w:r>
    </w:p>
    <w:p w14:paraId="1191336F" w14:textId="77777777" w:rsidR="006F2AD5" w:rsidRPr="00061F5D" w:rsidRDefault="001A56C2">
      <w:pPr>
        <w:spacing w:before="160" w:after="6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b/>
          <w:color w:val="3D403D"/>
          <w:lang w:val="it-IT"/>
        </w:rPr>
        <w:t>Miglioramento continuo</w:t>
      </w:r>
    </w:p>
    <w:p w14:paraId="504EFD2D" w14:textId="454A7DD4" w:rsidR="006F2AD5" w:rsidRPr="00061F5D" w:rsidRDefault="001A56C2">
      <w:pPr>
        <w:pStyle w:val="ListBullet"/>
        <w:spacing w:after="80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Stabilire cicli di </w:t>
      </w:r>
      <w:r w:rsidRPr="00061F5D">
        <w:rPr>
          <w:rFonts w:ascii="QBE Sans" w:hAnsi="QBE Sans" w:cs="QBE Sans"/>
          <w:color w:val="auto"/>
          <w:lang w:val="it-IT"/>
        </w:rPr>
        <w:t xml:space="preserve">feedback con il 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[</w:t>
      </w:r>
      <w:r w:rsidR="009773F7" w:rsidRPr="00061F5D">
        <w:rPr>
          <w:rFonts w:ascii="QBE Sans" w:hAnsi="QBE Sans" w:cs="QBE Sans"/>
          <w:color w:val="auto"/>
          <w:highlight w:val="yellow"/>
          <w:lang w:val="it-IT"/>
        </w:rPr>
        <w:t>TEAM/DIPARTIMENTO DEDICATO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]</w:t>
      </w:r>
      <w:r w:rsidRPr="00061F5D">
        <w:rPr>
          <w:rFonts w:ascii="QBE Sans" w:hAnsi="QBE Sans" w:cs="QBE Sans"/>
          <w:color w:val="auto"/>
          <w:lang w:val="it-IT"/>
        </w:rPr>
        <w:t xml:space="preserve"> per valutare regolarmente l'efficacia delle attività di manutenzione e implementare i miglioramenti necessari.</w:t>
      </w:r>
    </w:p>
    <w:p w14:paraId="3F3DD440" w14:textId="578BB34F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bookmarkStart w:id="8" w:name="_Toc236648989"/>
      <w:r w:rsidRPr="00061F5D">
        <w:rPr>
          <w:rFonts w:ascii="QBE Sans" w:hAnsi="QBE Sans" w:cs="QBE Sans"/>
          <w:color w:val="auto"/>
          <w:lang w:val="it-IT"/>
        </w:rPr>
        <w:lastRenderedPageBreak/>
        <w:t xml:space="preserve">Uso </w:t>
      </w:r>
      <w:bookmarkEnd w:id="8"/>
      <w:r w:rsidR="00657000" w:rsidRPr="00061F5D">
        <w:rPr>
          <w:rFonts w:ascii="QBE Sans" w:hAnsi="QBE Sans" w:cs="QBE Sans"/>
          <w:color w:val="auto"/>
          <w:lang w:val="it-IT"/>
        </w:rPr>
        <w:t>corretto</w:t>
      </w:r>
    </w:p>
    <w:p w14:paraId="66A6B867" w14:textId="1A95D78E" w:rsidR="006F2AD5" w:rsidRPr="00061F5D" w:rsidRDefault="001A56C2">
      <w:pPr>
        <w:spacing w:after="120" w:line="259" w:lineRule="auto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color w:val="auto"/>
          <w:lang w:val="it-IT"/>
        </w:rPr>
        <w:t xml:space="preserve">I dipendenti e le terze parti che utilizzano o hanno accesso agli asset IT di 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[</w:t>
      </w:r>
      <w:r w:rsidR="00061F5D" w:rsidRPr="00061F5D">
        <w:rPr>
          <w:rFonts w:ascii="QBE Sans" w:hAnsi="QBE Sans" w:cs="QBE Sans"/>
          <w:color w:val="auto"/>
          <w:highlight w:val="yellow"/>
          <w:lang w:val="it-IT"/>
        </w:rPr>
        <w:t>NOME AZIENDA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]</w:t>
      </w:r>
      <w:r w:rsidRPr="00061F5D">
        <w:rPr>
          <w:rFonts w:ascii="QBE Sans" w:hAnsi="QBE Sans" w:cs="QBE Sans"/>
          <w:color w:val="auto"/>
          <w:lang w:val="it-IT"/>
        </w:rPr>
        <w:t xml:space="preserve"> devono essere informati dei requisiti di sicurezza delle informazioni applicabili a tali asset e alle relative strutture e risorse di elaborazione delle informazioni.</w:t>
      </w:r>
    </w:p>
    <w:p w14:paraId="31B3DDB7" w14:textId="6DF2887A" w:rsidR="006F2AD5" w:rsidRPr="00061F5D" w:rsidRDefault="001A56C2">
      <w:pPr>
        <w:spacing w:after="120" w:line="259" w:lineRule="auto"/>
        <w:rPr>
          <w:rFonts w:ascii="QBE Sans" w:hAnsi="QBE Sans" w:cs="QBE Sans"/>
          <w:color w:val="auto"/>
          <w:lang w:val="it-IT"/>
        </w:rPr>
      </w:pPr>
      <w:r w:rsidRPr="00061F5D">
        <w:rPr>
          <w:rFonts w:ascii="QBE Sans" w:hAnsi="QBE Sans" w:cs="QBE Sans"/>
          <w:color w:val="auto"/>
          <w:highlight w:val="yellow"/>
          <w:lang w:val="it-IT"/>
        </w:rPr>
        <w:t>[</w:t>
      </w:r>
      <w:r w:rsidR="00061F5D" w:rsidRPr="00061F5D">
        <w:rPr>
          <w:rFonts w:ascii="QBE Sans" w:hAnsi="QBE Sans" w:cs="QBE Sans"/>
          <w:color w:val="auto"/>
          <w:highlight w:val="yellow"/>
          <w:lang w:val="it-IT"/>
        </w:rPr>
        <w:t>NOME AZIENDA</w:t>
      </w:r>
      <w:r w:rsidRPr="00061F5D">
        <w:rPr>
          <w:rFonts w:ascii="QBE Sans" w:hAnsi="QBE Sans" w:cs="QBE Sans"/>
          <w:color w:val="auto"/>
          <w:highlight w:val="yellow"/>
          <w:lang w:val="it-IT"/>
        </w:rPr>
        <w:t>]</w:t>
      </w:r>
      <w:r w:rsidRPr="00061F5D">
        <w:rPr>
          <w:rFonts w:ascii="QBE Sans" w:hAnsi="QBE Sans" w:cs="QBE Sans"/>
          <w:color w:val="auto"/>
          <w:lang w:val="it-IT"/>
        </w:rPr>
        <w:t xml:space="preserve"> richiede che tutti i dipendenti e le terze parti siano responsabili dell'uso delle risorse di elaborazione delle informazioni, incluse le attività svolte sotto la loro supervisione o responsabilità.</w:t>
      </w:r>
    </w:p>
    <w:p w14:paraId="052070FE" w14:textId="66FAF50E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bookmarkStart w:id="9" w:name="_Toc236648990"/>
      <w:r w:rsidRPr="00061F5D">
        <w:rPr>
          <w:rFonts w:ascii="QBE Sans" w:hAnsi="QBE Sans" w:cs="QBE Sans"/>
          <w:color w:val="auto"/>
          <w:lang w:val="it-IT"/>
        </w:rPr>
        <w:t>Eccezion</w:t>
      </w:r>
      <w:bookmarkEnd w:id="9"/>
      <w:r w:rsidR="0062671C" w:rsidRPr="00061F5D">
        <w:rPr>
          <w:rFonts w:ascii="QBE Sans" w:hAnsi="QBE Sans" w:cs="QBE Sans"/>
          <w:color w:val="auto"/>
          <w:lang w:val="it-IT"/>
        </w:rPr>
        <w:t>i</w:t>
      </w:r>
    </w:p>
    <w:p w14:paraId="7D673FDD" w14:textId="71BE3C16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Eventuali eccezioni alla presente </w:t>
      </w:r>
      <w:r w:rsidR="00C47DBC" w:rsidRPr="00061F5D">
        <w:rPr>
          <w:rFonts w:ascii="QBE Sans" w:hAnsi="QBE Sans" w:cs="QBE Sans"/>
          <w:lang w:val="it-IT"/>
        </w:rPr>
        <w:t>Policy</w:t>
      </w:r>
      <w:r w:rsidRPr="00061F5D">
        <w:rPr>
          <w:rFonts w:ascii="QBE Sans" w:hAnsi="QBE Sans" w:cs="QBE Sans"/>
          <w:lang w:val="it-IT"/>
        </w:rPr>
        <w:t xml:space="preserve"> devono essere concesse caso per caso e solo previa approvazione scritta da parte della leadership e dell'IT. Ciò deve includere una revisione completa da parte del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9773F7" w:rsidRPr="00061F5D">
        <w:rPr>
          <w:rFonts w:ascii="QBE Sans" w:hAnsi="QBE Sans" w:cs="QBE Sans"/>
          <w:color w:val="FF0000"/>
          <w:highlight w:val="yellow"/>
          <w:lang w:val="it-IT"/>
        </w:rPr>
        <w:t>TEAM/DIPARTIMENTO DEDICATO</w:t>
      </w:r>
      <w:r w:rsidRPr="00061F5D">
        <w:rPr>
          <w:rFonts w:ascii="QBE Sans" w:hAnsi="QBE Sans" w:cs="QBE Sans"/>
          <w:highlight w:val="yellow"/>
          <w:lang w:val="it-IT"/>
        </w:rPr>
        <w:t>],</w:t>
      </w:r>
      <w:r w:rsidRPr="00061F5D">
        <w:rPr>
          <w:rFonts w:ascii="QBE Sans" w:hAnsi="QBE Sans" w:cs="QBE Sans"/>
          <w:lang w:val="it-IT"/>
        </w:rPr>
        <w:t xml:space="preserve"> per garantire che l'eccezione proposta segua il processo di gestione del rischio di </w:t>
      </w:r>
      <w:r w:rsidRPr="00061F5D">
        <w:rPr>
          <w:rFonts w:ascii="QBE Sans" w:hAnsi="QBE Sans" w:cs="QBE Sans"/>
          <w:highlight w:val="yellow"/>
          <w:lang w:val="it-IT"/>
        </w:rPr>
        <w:t>[</w:t>
      </w:r>
      <w:r w:rsidR="00061F5D">
        <w:rPr>
          <w:rFonts w:ascii="QBE Sans" w:hAnsi="QBE Sans" w:cs="QBE Sans"/>
          <w:highlight w:val="yellow"/>
          <w:lang w:val="it-IT"/>
        </w:rPr>
        <w:t>NOME AZIENDA</w:t>
      </w:r>
      <w:r w:rsidRPr="00061F5D">
        <w:rPr>
          <w:rFonts w:ascii="QBE Sans" w:hAnsi="QBE Sans" w:cs="QBE Sans"/>
          <w:highlight w:val="yellow"/>
          <w:lang w:val="it-IT"/>
        </w:rPr>
        <w:t>]</w:t>
      </w:r>
      <w:r w:rsidRPr="00061F5D">
        <w:rPr>
          <w:rFonts w:ascii="QBE Sans" w:hAnsi="QBE Sans" w:cs="QBE Sans"/>
          <w:lang w:val="it-IT"/>
        </w:rPr>
        <w:t xml:space="preserve"> al fine di identificare, valutare e mitigare efficacemente i rischi associati.</w:t>
      </w:r>
    </w:p>
    <w:p w14:paraId="4907A287" w14:textId="77777777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Tutte le eccezioni approvate devono essere documentate, incluse le motivazioni dell'approvazione e le eventuali condizioni imposte. Le eccezioni saranno soggette a revisione trimestrale per garantire che le circostanze che hanno portato alla loro approvazione restino valide e che i rischi siano gestiti efficacemente.</w:t>
      </w:r>
    </w:p>
    <w:p w14:paraId="08609BC4" w14:textId="77777777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È responsabilità del proprietario dell'asset collaborare con l'IT per garantire che il proprio asset sia conforme e catalogato nell'inventario degli asset.</w:t>
      </w:r>
    </w:p>
    <w:p w14:paraId="36F5FBCE" w14:textId="77777777" w:rsidR="006F2AD5" w:rsidRPr="00061F5D" w:rsidRDefault="001A56C2" w:rsidP="00061F5D">
      <w:pPr>
        <w:pStyle w:val="Heading1"/>
        <w:numPr>
          <w:ilvl w:val="0"/>
          <w:numId w:val="12"/>
        </w:numPr>
        <w:rPr>
          <w:rFonts w:ascii="QBE Sans" w:hAnsi="QBE Sans" w:cs="QBE Sans"/>
          <w:color w:val="auto"/>
          <w:lang w:val="it-IT"/>
        </w:rPr>
      </w:pPr>
      <w:bookmarkStart w:id="10" w:name="_Toc236648991"/>
      <w:r w:rsidRPr="00061F5D">
        <w:rPr>
          <w:rFonts w:ascii="QBE Sans" w:hAnsi="QBE Sans" w:cs="QBE Sans"/>
          <w:color w:val="auto"/>
          <w:lang w:val="it-IT"/>
        </w:rPr>
        <w:t>Conformità</w:t>
      </w:r>
      <w:bookmarkEnd w:id="10"/>
    </w:p>
    <w:p w14:paraId="51EBD93A" w14:textId="3AA0D4D0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 xml:space="preserve">La non conformità alla presente </w:t>
      </w:r>
      <w:r w:rsidR="00C47DBC" w:rsidRPr="00061F5D">
        <w:rPr>
          <w:rFonts w:ascii="QBE Sans" w:hAnsi="QBE Sans" w:cs="QBE Sans"/>
          <w:lang w:val="it-IT"/>
        </w:rPr>
        <w:t>Policy</w:t>
      </w:r>
      <w:r w:rsidRPr="00061F5D">
        <w:rPr>
          <w:rFonts w:ascii="QBE Sans" w:hAnsi="QBE Sans" w:cs="QBE Sans"/>
          <w:lang w:val="it-IT"/>
        </w:rPr>
        <w:t xml:space="preserve"> può comportare azioni disciplinari. Tutti i dipendenti e le terze parti devono attenersi alla presente </w:t>
      </w:r>
      <w:r w:rsidR="00C47DBC" w:rsidRPr="00061F5D">
        <w:rPr>
          <w:rFonts w:ascii="QBE Sans" w:hAnsi="QBE Sans" w:cs="QBE Sans"/>
          <w:lang w:val="it-IT"/>
        </w:rPr>
        <w:t>Policy</w:t>
      </w:r>
      <w:r w:rsidRPr="00061F5D">
        <w:rPr>
          <w:rFonts w:ascii="QBE Sans" w:hAnsi="QBE Sans" w:cs="QBE Sans"/>
          <w:lang w:val="it-IT"/>
        </w:rPr>
        <w:t xml:space="preserve"> e segnalare eventuali problematiche o incidenti correlati alla presente </w:t>
      </w:r>
      <w:r w:rsidR="00C47DBC" w:rsidRPr="00061F5D">
        <w:rPr>
          <w:rFonts w:ascii="QBE Sans" w:hAnsi="QBE Sans" w:cs="QBE Sans"/>
          <w:lang w:val="it-IT"/>
        </w:rPr>
        <w:t>Policy</w:t>
      </w:r>
      <w:r w:rsidRPr="00061F5D">
        <w:rPr>
          <w:rFonts w:ascii="QBE Sans" w:hAnsi="QBE Sans" w:cs="QBE Sans"/>
          <w:lang w:val="it-IT"/>
        </w:rPr>
        <w:t>.</w:t>
      </w:r>
    </w:p>
    <w:p w14:paraId="38CD751B" w14:textId="77777777" w:rsidR="006F2AD5" w:rsidRPr="00061F5D" w:rsidRDefault="001A56C2">
      <w:pPr>
        <w:pStyle w:val="Heading1"/>
        <w:rPr>
          <w:rFonts w:ascii="QBE Sans" w:hAnsi="QBE Sans" w:cs="QBE Sans"/>
          <w:color w:val="auto"/>
          <w:lang w:val="it-IT"/>
        </w:rPr>
      </w:pPr>
      <w:bookmarkStart w:id="11" w:name="_Toc236648992"/>
      <w:r w:rsidRPr="00061F5D">
        <w:rPr>
          <w:rFonts w:ascii="QBE Sans" w:hAnsi="QBE Sans" w:cs="QBE Sans"/>
          <w:color w:val="auto"/>
          <w:lang w:val="it-IT"/>
        </w:rPr>
        <w:t>Appendice: Definizioni</w:t>
      </w:r>
      <w:bookmarkEnd w:id="11"/>
    </w:p>
    <w:p w14:paraId="2FBEA160" w14:textId="77777777" w:rsidR="006F2AD5" w:rsidRPr="00061F5D" w:rsidRDefault="001A56C2">
      <w:pPr>
        <w:spacing w:after="120" w:line="259" w:lineRule="auto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lang w:val="it-IT"/>
        </w:rPr>
        <w:t>Nel presente documento sono utilizzate le seguenti definizioni:</w:t>
      </w:r>
    </w:p>
    <w:tbl>
      <w:tblPr>
        <w:tblStyle w:val="TableGrid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2517"/>
        <w:gridCol w:w="7907"/>
      </w:tblGrid>
      <w:tr w:rsidR="006F2AD5" w:rsidRPr="00061F5D" w14:paraId="6802BA2A" w14:textId="77777777" w:rsidTr="00B87D1E">
        <w:trPr>
          <w:jc w:val="center"/>
        </w:trPr>
        <w:tc>
          <w:tcPr>
            <w:tcW w:w="2520" w:type="dxa"/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8A449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color w:val="FFFFFF"/>
                <w:sz w:val="18"/>
                <w:lang w:val="it-IT"/>
              </w:rPr>
              <w:t>Termine</w:t>
            </w:r>
          </w:p>
        </w:tc>
        <w:tc>
          <w:tcPr>
            <w:tcW w:w="7920" w:type="dxa"/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B1F140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color w:val="FFFFFF"/>
                <w:sz w:val="18"/>
                <w:lang w:val="it-IT"/>
              </w:rPr>
              <w:t>Definizione</w:t>
            </w:r>
          </w:p>
        </w:tc>
      </w:tr>
      <w:tr w:rsidR="006F2AD5" w:rsidRPr="00061F5D" w14:paraId="06F6625E" w14:textId="77777777">
        <w:trPr>
          <w:jc w:val="center"/>
        </w:trPr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1DA66E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t>Asset</w:t>
            </w:r>
          </w:p>
        </w:tc>
        <w:tc>
          <w:tcPr>
            <w:tcW w:w="79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CBC817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Elemento di valore per gli stakeholder. Un asset può essere tangibile (ad esempio un elemento fisico come hardware, firmware, piattaforma di elaborazione, dispositivo di rete o altro componente tecnologico) o intangibile (ad esempio persone, dati, informazioni, software, capacità, funzione, servizio, marchio, copyright, brevetto, proprietà intellettuale, immagine o reputazione). Il valore di un asset è determinato dagli stakeholder considerando le preoccupazioni relative alle perdite lungo l'intero ciclo di vita del sistema.</w:t>
            </w:r>
          </w:p>
        </w:tc>
      </w:tr>
      <w:tr w:rsidR="006F2AD5" w:rsidRPr="00061F5D" w14:paraId="0012FFCC" w14:textId="77777777">
        <w:trPr>
          <w:jc w:val="center"/>
        </w:trPr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9F1ED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t>Proprietario dell'asset</w:t>
            </w:r>
          </w:p>
        </w:tc>
        <w:tc>
          <w:tcPr>
            <w:tcW w:w="79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50123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Persona o organizzazione responsabile dello sviluppo, procurement, integrazione, modifica, esercizio e manutenzione e/o disposizione finale di un asset.</w:t>
            </w:r>
          </w:p>
        </w:tc>
      </w:tr>
      <w:tr w:rsidR="006F2AD5" w:rsidRPr="00061F5D" w14:paraId="061734ED" w14:textId="77777777">
        <w:trPr>
          <w:jc w:val="center"/>
        </w:trPr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00E9F6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t>Valutazione delle vulnerabilità</w:t>
            </w:r>
          </w:p>
        </w:tc>
        <w:tc>
          <w:tcPr>
            <w:tcW w:w="79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7598DC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Esame sistematico di un sistema informativo o prodotto volto a determinare l'adeguatezza delle misure di sicurezza, identificare carenze di sicurezza, fornire dati per prevedere l'efficacia delle misure di sicurezza proposte e confermarne l'adeguatezza dopo l'implementazione.</w:t>
            </w:r>
          </w:p>
        </w:tc>
      </w:tr>
      <w:tr w:rsidR="006F2AD5" w:rsidRPr="00061F5D" w14:paraId="68A990E8" w14:textId="77777777">
        <w:trPr>
          <w:jc w:val="center"/>
        </w:trPr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E62F9D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t>Valutazione del rischio</w:t>
            </w:r>
          </w:p>
        </w:tc>
        <w:tc>
          <w:tcPr>
            <w:tcW w:w="79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F79D5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Processo di identificazione dei rischi per le operazioni organizzative, inclusi missione, funzioni, immagine e reputazione, per gli asset e per gli individui derivanti dal funzionamento di un sistema informativo. Parte della gestione del rischio, incorpora analisi di minacce e vulnerabilità e considera le mitigazioni fornite dai controlli di sicurezza pianificati o in essere.</w:t>
            </w:r>
          </w:p>
        </w:tc>
      </w:tr>
      <w:tr w:rsidR="006F2AD5" w:rsidRPr="00061F5D" w14:paraId="4C8CFFDA" w14:textId="77777777">
        <w:trPr>
          <w:jc w:val="center"/>
        </w:trPr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A17858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t>Gestione del rischio</w:t>
            </w:r>
          </w:p>
        </w:tc>
        <w:tc>
          <w:tcPr>
            <w:tcW w:w="79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335DA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Processo di identificazione del rischio, valutazione del rischio e adozione di misure per ridurre il rischio a un livello accettabile.</w:t>
            </w:r>
          </w:p>
        </w:tc>
      </w:tr>
      <w:tr w:rsidR="006F2AD5" w:rsidRPr="00061F5D" w14:paraId="125CF96B" w14:textId="77777777">
        <w:trPr>
          <w:jc w:val="center"/>
        </w:trPr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213911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lastRenderedPageBreak/>
              <w:t>Rischio della catena di fornitura</w:t>
            </w:r>
          </w:p>
        </w:tc>
        <w:tc>
          <w:tcPr>
            <w:tcW w:w="79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C3059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Potenziale danno o compromissione derivante da rischi di sicurezza provenienti dai fornitori, dalle loro catene di fornitura e dai loro prodotti o servizi. I rischi della catena di fornitura includono esposizioni, minacce e vulnerabilità associate ai prodotti e servizi che attraversano la catena di fornitura, nonché esposizioni, minacce e vulnerabilità relative alla catena stessa.</w:t>
            </w:r>
          </w:p>
        </w:tc>
      </w:tr>
      <w:tr w:rsidR="006F2AD5" w:rsidRPr="00061F5D" w14:paraId="5B0B7F18" w14:textId="77777777">
        <w:trPr>
          <w:jc w:val="center"/>
        </w:trPr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B939B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t>Terza parte</w:t>
            </w:r>
          </w:p>
        </w:tc>
        <w:tc>
          <w:tcPr>
            <w:tcW w:w="79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B20D6F" w14:textId="5F083276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 xml:space="preserve">Organizzazione o individuo esterno a </w:t>
            </w:r>
            <w:r w:rsidRPr="00061F5D">
              <w:rPr>
                <w:rFonts w:ascii="QBE Sans" w:hAnsi="QBE Sans" w:cs="QBE Sans"/>
                <w:sz w:val="17"/>
                <w:highlight w:val="yellow"/>
                <w:lang w:val="it-IT"/>
              </w:rPr>
              <w:t>[</w:t>
            </w:r>
            <w:r w:rsidR="00061F5D">
              <w:rPr>
                <w:rFonts w:ascii="QBE Sans" w:hAnsi="QBE Sans" w:cs="QBE Sans"/>
                <w:sz w:val="17"/>
                <w:highlight w:val="yellow"/>
                <w:lang w:val="it-IT"/>
              </w:rPr>
              <w:t>NOME AZIENDA</w:t>
            </w:r>
            <w:r w:rsidRPr="00061F5D">
              <w:rPr>
                <w:rFonts w:ascii="QBE Sans" w:hAnsi="QBE Sans" w:cs="QBE Sans"/>
                <w:sz w:val="17"/>
                <w:highlight w:val="yellow"/>
                <w:lang w:val="it-IT"/>
              </w:rPr>
              <w:t>]</w:t>
            </w:r>
            <w:r w:rsidRPr="00061F5D">
              <w:rPr>
                <w:rFonts w:ascii="QBE Sans" w:hAnsi="QBE Sans" w:cs="QBE Sans"/>
                <w:sz w:val="17"/>
                <w:lang w:val="it-IT"/>
              </w:rPr>
              <w:t xml:space="preserve"> che fornisce prodotti o servizi.</w:t>
            </w:r>
          </w:p>
        </w:tc>
      </w:tr>
      <w:tr w:rsidR="006F2AD5" w:rsidRPr="00061F5D" w14:paraId="26C806AB" w14:textId="77777777">
        <w:trPr>
          <w:jc w:val="center"/>
        </w:trPr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EBA4D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t>Procurement</w:t>
            </w:r>
          </w:p>
        </w:tc>
        <w:tc>
          <w:tcPr>
            <w:tcW w:w="79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EEC39C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Processo di acquisizione di beni o servizi, inclusi gli asset IT.</w:t>
            </w:r>
          </w:p>
        </w:tc>
      </w:tr>
      <w:tr w:rsidR="006F2AD5" w:rsidRPr="00061F5D" w14:paraId="73034822" w14:textId="77777777">
        <w:trPr>
          <w:jc w:val="center"/>
        </w:trPr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F1976B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t>Dismissione</w:t>
            </w:r>
          </w:p>
        </w:tc>
        <w:tc>
          <w:tcPr>
            <w:tcW w:w="79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A04551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Processo corretto e sicuro di decommissioning e rimozione degli asset non più necessari, garantendo che eventuali dati residui siano distrutti in modo sicuro.</w:t>
            </w:r>
          </w:p>
        </w:tc>
      </w:tr>
      <w:tr w:rsidR="006F2AD5" w:rsidRPr="00061F5D" w14:paraId="313AD3B0" w14:textId="77777777">
        <w:trPr>
          <w:jc w:val="center"/>
        </w:trPr>
        <w:tc>
          <w:tcPr>
            <w:tcW w:w="2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AB989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b/>
                <w:sz w:val="17"/>
                <w:lang w:val="it-IT"/>
              </w:rPr>
              <w:t>Patch Management</w:t>
            </w:r>
          </w:p>
        </w:tc>
        <w:tc>
          <w:tcPr>
            <w:tcW w:w="79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F5990D" w14:textId="77777777" w:rsidR="006F2AD5" w:rsidRPr="00061F5D" w:rsidRDefault="001A56C2">
            <w:pPr>
              <w:spacing w:line="252" w:lineRule="auto"/>
              <w:rPr>
                <w:rFonts w:ascii="QBE Sans" w:hAnsi="QBE Sans" w:cs="QBE Sans"/>
                <w:lang w:val="it-IT"/>
              </w:rPr>
            </w:pPr>
            <w:r w:rsidRPr="00061F5D">
              <w:rPr>
                <w:rFonts w:ascii="QBE Sans" w:hAnsi="QBE Sans" w:cs="QBE Sans"/>
                <w:sz w:val="17"/>
                <w:lang w:val="it-IT"/>
              </w:rPr>
              <w:t>Notifica, identificazione, distribuzione, installazione e verifica sistematiche delle revisioni del codice software del sistema operativo e delle applicazioni. Tali revisioni sono note come patch, hot fix e service pack.</w:t>
            </w:r>
          </w:p>
        </w:tc>
      </w:tr>
    </w:tbl>
    <w:p w14:paraId="12414F58" w14:textId="77777777" w:rsidR="006F2AD5" w:rsidRPr="00061F5D" w:rsidRDefault="001A56C2">
      <w:pPr>
        <w:spacing w:before="240"/>
        <w:rPr>
          <w:rFonts w:ascii="QBE Sans" w:hAnsi="QBE Sans" w:cs="QBE Sans"/>
          <w:lang w:val="it-IT"/>
        </w:rPr>
      </w:pPr>
      <w:r w:rsidRPr="00061F5D">
        <w:rPr>
          <w:rFonts w:ascii="QBE Sans" w:hAnsi="QBE Sans" w:cs="QBE Sans"/>
          <w:i/>
          <w:sz w:val="17"/>
          <w:lang w:val="it-IT"/>
        </w:rPr>
        <w:t>¹ Consultare l'Appendice per l'elenco delle definizioni chiave.</w:t>
      </w:r>
    </w:p>
    <w:sectPr w:rsidR="006F2AD5" w:rsidRPr="00061F5D" w:rsidSect="00034616">
      <w:foot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6CDB5" w14:textId="77777777" w:rsidR="00C361C4" w:rsidRDefault="00C361C4">
      <w:pPr>
        <w:spacing w:after="0" w:line="240" w:lineRule="auto"/>
      </w:pPr>
      <w:r>
        <w:separator/>
      </w:r>
    </w:p>
  </w:endnote>
  <w:endnote w:type="continuationSeparator" w:id="0">
    <w:p w14:paraId="74F450A7" w14:textId="77777777" w:rsidR="00C361C4" w:rsidRDefault="00C36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QBE Sans">
    <w:panose1 w:val="020B0503020203020204"/>
    <w:charset w:val="00"/>
    <w:family w:val="swiss"/>
    <w:pitch w:val="variable"/>
    <w:sig w:usb0="A000006F" w:usb1="4000207B" w:usb2="0000000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E7644" w14:textId="77777777" w:rsidR="006F2AD5" w:rsidRDefault="001A56C2">
    <w:pPr>
      <w:pStyle w:val="Footer"/>
      <w:jc w:val="center"/>
      <w:rPr>
        <w:color w:val="646464"/>
        <w:sz w:val="16"/>
      </w:rPr>
    </w:pPr>
    <w:proofErr w:type="spellStart"/>
    <w:r>
      <w:rPr>
        <w:color w:val="646464"/>
        <w:sz w:val="16"/>
      </w:rPr>
      <w:t>Riservato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aziendale</w:t>
    </w:r>
    <w:proofErr w:type="spellEnd"/>
  </w:p>
  <w:p w14:paraId="614221B6" w14:textId="540F025E" w:rsidR="00061F5D" w:rsidRPr="00061F5D" w:rsidRDefault="00061F5D" w:rsidP="00061F5D">
    <w:pPr>
      <w:spacing w:before="240" w:line="252" w:lineRule="auto"/>
      <w:rPr>
        <w:rFonts w:ascii="QBE Sans" w:hAnsi="QBE Sans" w:cs="QBE Sans"/>
        <w:lang w:val="fr-FR"/>
      </w:rPr>
    </w:pPr>
    <w:r w:rsidRPr="00061F5D">
      <w:rPr>
        <w:rFonts w:ascii="QBE Sans" w:hAnsi="QBE Sans" w:cs="QBE Sans"/>
        <w:i/>
        <w:sz w:val="16"/>
        <w:lang w:val="it-IT"/>
      </w:rPr>
      <w:t>I modelli esemplificativi di Cyber Governance sono forniti esclusivamente a titolo di esempio. Non sono stati predisposti con una conoscenza dettagliata dei vostri sistemi o dei rischi per la vostra azienda e non coprono tutte le possibili situazioni o azioni necessarie per rispondere a un incidente di cyber security. L'utente è responsabile dell'uso del proprio giudizio indipendente per valutare i piani e i processi di risposta agli incidenti appropriati per la propria azienda. I modelli esemplificativi di Cyber Governance non sostituiscono il parere di un consulente legale o di professionisti di cyber security nella preparazione o</w:t>
    </w:r>
    <w:r w:rsidRPr="00061F5D">
      <w:rPr>
        <w:rFonts w:ascii="QBE Sans" w:hAnsi="QBE Sans" w:cs="QBE Sans"/>
        <w:i/>
        <w:sz w:val="16"/>
        <w:lang w:val="fr-FR"/>
      </w:rPr>
      <w:t xml:space="preserve"> </w:t>
    </w:r>
    <w:proofErr w:type="spellStart"/>
    <w:r w:rsidRPr="00061F5D">
      <w:rPr>
        <w:rFonts w:ascii="QBE Sans" w:hAnsi="QBE Sans" w:cs="QBE Sans"/>
        <w:i/>
        <w:sz w:val="16"/>
        <w:lang w:val="fr-FR"/>
      </w:rPr>
      <w:t>nella</w:t>
    </w:r>
    <w:proofErr w:type="spellEnd"/>
    <w:r w:rsidRPr="00061F5D">
      <w:rPr>
        <w:rFonts w:ascii="QBE Sans" w:hAnsi="QBE Sans" w:cs="QBE Sans"/>
        <w:i/>
        <w:sz w:val="16"/>
        <w:lang w:val="fr-FR"/>
      </w:rPr>
      <w:t xml:space="preserve"> </w:t>
    </w:r>
    <w:proofErr w:type="spellStart"/>
    <w:r w:rsidRPr="00061F5D">
      <w:rPr>
        <w:rFonts w:ascii="QBE Sans" w:hAnsi="QBE Sans" w:cs="QBE Sans"/>
        <w:i/>
        <w:sz w:val="16"/>
        <w:lang w:val="fr-FR"/>
      </w:rPr>
      <w:t>risposta</w:t>
    </w:r>
    <w:proofErr w:type="spellEnd"/>
    <w:r w:rsidRPr="00061F5D">
      <w:rPr>
        <w:rFonts w:ascii="QBE Sans" w:hAnsi="QBE Sans" w:cs="QBE Sans"/>
        <w:i/>
        <w:sz w:val="16"/>
        <w:lang w:val="fr-FR"/>
      </w:rPr>
      <w:t xml:space="preserve"> a un incidente di cyber </w:t>
    </w:r>
    <w:proofErr w:type="spellStart"/>
    <w:r w:rsidRPr="00061F5D">
      <w:rPr>
        <w:rFonts w:ascii="QBE Sans" w:hAnsi="QBE Sans" w:cs="QBE Sans"/>
        <w:i/>
        <w:sz w:val="16"/>
        <w:lang w:val="fr-FR"/>
      </w:rPr>
      <w:t>security</w:t>
    </w:r>
    <w:proofErr w:type="spellEnd"/>
    <w:r w:rsidRPr="00061F5D">
      <w:rPr>
        <w:rFonts w:ascii="QBE Sans" w:hAnsi="QBE Sans" w:cs="QBE Sans"/>
        <w:i/>
        <w:sz w:val="16"/>
        <w:lang w:val="fr-F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50E13" w14:textId="77777777" w:rsidR="00C361C4" w:rsidRDefault="00C361C4">
      <w:pPr>
        <w:spacing w:after="0" w:line="240" w:lineRule="auto"/>
      </w:pPr>
      <w:r>
        <w:separator/>
      </w:r>
    </w:p>
  </w:footnote>
  <w:footnote w:type="continuationSeparator" w:id="0">
    <w:p w14:paraId="62529162" w14:textId="77777777" w:rsidR="00C361C4" w:rsidRDefault="00C36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48026E"/>
    <w:multiLevelType w:val="hybridMultilevel"/>
    <w:tmpl w:val="EA6CF3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614FB"/>
    <w:multiLevelType w:val="hybridMultilevel"/>
    <w:tmpl w:val="7F9E750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1379713">
    <w:abstractNumId w:val="8"/>
  </w:num>
  <w:num w:numId="2" w16cid:durableId="998120908">
    <w:abstractNumId w:val="6"/>
  </w:num>
  <w:num w:numId="3" w16cid:durableId="584611029">
    <w:abstractNumId w:val="5"/>
  </w:num>
  <w:num w:numId="4" w16cid:durableId="1522745407">
    <w:abstractNumId w:val="4"/>
  </w:num>
  <w:num w:numId="5" w16cid:durableId="1886482152">
    <w:abstractNumId w:val="7"/>
  </w:num>
  <w:num w:numId="6" w16cid:durableId="1158108384">
    <w:abstractNumId w:val="3"/>
  </w:num>
  <w:num w:numId="7" w16cid:durableId="1461194453">
    <w:abstractNumId w:val="2"/>
  </w:num>
  <w:num w:numId="8" w16cid:durableId="1267884133">
    <w:abstractNumId w:val="1"/>
  </w:num>
  <w:num w:numId="9" w16cid:durableId="1429502352">
    <w:abstractNumId w:val="0"/>
  </w:num>
  <w:num w:numId="10" w16cid:durableId="398092712">
    <w:abstractNumId w:val="8"/>
  </w:num>
  <w:num w:numId="11" w16cid:durableId="1649482406">
    <w:abstractNumId w:val="9"/>
  </w:num>
  <w:num w:numId="12" w16cid:durableId="791557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1F5D"/>
    <w:rsid w:val="000C43DE"/>
    <w:rsid w:val="00135AE7"/>
    <w:rsid w:val="0015074B"/>
    <w:rsid w:val="001A56C2"/>
    <w:rsid w:val="0029639D"/>
    <w:rsid w:val="00326F90"/>
    <w:rsid w:val="0040256F"/>
    <w:rsid w:val="004172BA"/>
    <w:rsid w:val="0062671C"/>
    <w:rsid w:val="00647312"/>
    <w:rsid w:val="00657000"/>
    <w:rsid w:val="006F2AD5"/>
    <w:rsid w:val="009773F7"/>
    <w:rsid w:val="00AA1D8D"/>
    <w:rsid w:val="00B47730"/>
    <w:rsid w:val="00B576F4"/>
    <w:rsid w:val="00B87D1E"/>
    <w:rsid w:val="00C361C4"/>
    <w:rsid w:val="00C42BD6"/>
    <w:rsid w:val="00C47DBC"/>
    <w:rsid w:val="00CB0664"/>
    <w:rsid w:val="00CC6C00"/>
    <w:rsid w:val="00D30F1E"/>
    <w:rsid w:val="00E305EA"/>
    <w:rsid w:val="00EE2DCD"/>
    <w:rsid w:val="00FC693F"/>
    <w:rsid w:val="00FD7E83"/>
    <w:rsid w:val="290F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115299E-0880-47A1-9B09-8B753D40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234D6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D403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34D6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C42BD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2BD6"/>
    <w:pPr>
      <w:spacing w:after="100"/>
      <w:ind w:left="190"/>
    </w:pPr>
  </w:style>
  <w:style w:type="character" w:styleId="Hyperlink">
    <w:name w:val="Hyperlink"/>
    <w:basedOn w:val="DefaultParagraphFont"/>
    <w:uiPriority w:val="99"/>
    <w:unhideWhenUsed/>
    <w:rsid w:val="00C42B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2c4c6c-778f-4a71-abb2-982986745419}" enabled="1" method="Standard" siteId="{ce56fae6-055d-4c9f-b6c9-9d341506a4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2555</Words>
  <Characters>16226</Characters>
  <Application>Microsoft Office Word</Application>
  <DocSecurity>0</DocSecurity>
  <Lines>324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Insaf Idelhaj</dc:creator>
  <cp:keywords/>
  <dc:description>generated by python-docx</dc:description>
  <cp:lastModifiedBy>Anahi Finocchio</cp:lastModifiedBy>
  <cp:revision>8</cp:revision>
  <dcterms:created xsi:type="dcterms:W3CDTF">2026-08-13T08:46:00Z</dcterms:created>
  <dcterms:modified xsi:type="dcterms:W3CDTF">2026-09-03T13:40:00Z</dcterms:modified>
  <cp:category/>
</cp:coreProperties>
</file>