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21EC4" w14:textId="16864241" w:rsidR="005A1522" w:rsidRPr="00810E87" w:rsidRDefault="005A1522" w:rsidP="005A1522">
      <w:pPr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  <w:lang w:val="es-ES"/>
        </w:rPr>
      </w:pPr>
      <w:r w:rsidRPr="00810E87">
        <w:rPr>
          <w:rFonts w:asciiTheme="minorHAnsi" w:hAnsiTheme="minorHAnsi" w:cstheme="minorHAnsi"/>
          <w:b/>
          <w:bCs/>
          <w:color w:val="auto"/>
          <w:sz w:val="36"/>
          <w:szCs w:val="36"/>
          <w:highlight w:val="yellow"/>
          <w:lang w:val="es-ES"/>
        </w:rPr>
        <w:t>[</w:t>
      </w:r>
      <w:r w:rsidR="00C96354">
        <w:rPr>
          <w:rFonts w:asciiTheme="minorHAnsi" w:hAnsiTheme="minorHAnsi" w:cstheme="minorHAnsi"/>
          <w:b/>
          <w:bCs/>
          <w:color w:val="auto"/>
          <w:sz w:val="36"/>
          <w:szCs w:val="36"/>
          <w:highlight w:val="yellow"/>
          <w:lang w:val="es-ES"/>
        </w:rPr>
        <w:t>NOMBRE DE LA COMPAÑÍA</w:t>
      </w:r>
      <w:r w:rsidRPr="00810E87">
        <w:rPr>
          <w:rFonts w:asciiTheme="minorHAnsi" w:hAnsiTheme="minorHAnsi" w:cstheme="minorHAnsi"/>
          <w:b/>
          <w:bCs/>
          <w:color w:val="auto"/>
          <w:sz w:val="36"/>
          <w:szCs w:val="36"/>
          <w:highlight w:val="yellow"/>
          <w:lang w:val="es-ES"/>
        </w:rPr>
        <w:t>]</w:t>
      </w:r>
    </w:p>
    <w:p w14:paraId="04082E15" w14:textId="0730FDF4" w:rsidR="008F72CE" w:rsidRPr="00810E87" w:rsidRDefault="00810E87">
      <w:pPr>
        <w:jc w:val="center"/>
        <w:rPr>
          <w:lang w:val="es-ES"/>
        </w:rPr>
      </w:pPr>
      <w:r w:rsidRPr="00810E87">
        <w:rPr>
          <w:b/>
          <w:bCs/>
          <w:color w:val="auto"/>
          <w:sz w:val="36"/>
          <w:szCs w:val="36"/>
          <w:lang w:val="es-ES"/>
        </w:rPr>
        <w:t xml:space="preserve">Política de </w:t>
      </w:r>
      <w:r w:rsidR="00FB4313">
        <w:rPr>
          <w:b/>
          <w:bCs/>
          <w:color w:val="auto"/>
          <w:sz w:val="36"/>
          <w:szCs w:val="36"/>
          <w:lang w:val="es-ES"/>
        </w:rPr>
        <w:t>G</w:t>
      </w:r>
      <w:r w:rsidRPr="00810E87">
        <w:rPr>
          <w:b/>
          <w:bCs/>
          <w:color w:val="auto"/>
          <w:sz w:val="36"/>
          <w:szCs w:val="36"/>
          <w:lang w:val="es-ES"/>
        </w:rPr>
        <w:t xml:space="preserve">estión de </w:t>
      </w:r>
      <w:r w:rsidR="00FB4313">
        <w:rPr>
          <w:b/>
          <w:bCs/>
          <w:color w:val="auto"/>
          <w:sz w:val="36"/>
          <w:szCs w:val="36"/>
          <w:lang w:val="es-ES"/>
        </w:rPr>
        <w:t>A</w:t>
      </w:r>
      <w:r w:rsidRPr="00810E87">
        <w:rPr>
          <w:b/>
          <w:bCs/>
          <w:color w:val="auto"/>
          <w:sz w:val="36"/>
          <w:szCs w:val="36"/>
          <w:lang w:val="es-ES"/>
        </w:rPr>
        <w:t>ctivos</w:t>
      </w:r>
    </w:p>
    <w:p w14:paraId="533E1B9E" w14:textId="77777777" w:rsidR="008F72CE" w:rsidRPr="00C11A5A" w:rsidRDefault="00CF6F55">
      <w:pPr>
        <w:spacing w:line="360" w:lineRule="auto"/>
        <w:jc w:val="center"/>
        <w:rPr>
          <w:lang w:val="es-ES"/>
        </w:rPr>
      </w:pPr>
      <w:r w:rsidRPr="00C11A5A">
        <w:rPr>
          <w:b/>
          <w:bCs/>
          <w:color w:val="3D403D"/>
          <w:sz w:val="20"/>
          <w:szCs w:val="20"/>
          <w:lang w:val="es-ES"/>
        </w:rPr>
        <w:t>Confidencial empresarial. No distribuir</w:t>
      </w:r>
    </w:p>
    <w:p w14:paraId="576FE3EB" w14:textId="77777777" w:rsidR="005A1522" w:rsidRPr="00C11A5A" w:rsidRDefault="005A1522" w:rsidP="005A15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s-ES"/>
        </w:rPr>
      </w:pPr>
    </w:p>
    <w:p w14:paraId="3E8B7090" w14:textId="77777777" w:rsidR="005A1522" w:rsidRPr="00C11A5A" w:rsidRDefault="005A1522" w:rsidP="005A15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s-ES"/>
        </w:rPr>
      </w:pPr>
    </w:p>
    <w:p w14:paraId="066A220D" w14:textId="77777777" w:rsidR="005A1522" w:rsidRPr="00C11A5A" w:rsidRDefault="005A1522" w:rsidP="005A15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s-ES"/>
        </w:rPr>
      </w:pPr>
    </w:p>
    <w:p w14:paraId="30A9091E" w14:textId="77777777" w:rsidR="005A1522" w:rsidRPr="00C11A5A" w:rsidRDefault="005A1522" w:rsidP="005A15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s-ES"/>
        </w:rPr>
      </w:pPr>
    </w:p>
    <w:p w14:paraId="1A6B9C69" w14:textId="77777777" w:rsidR="008F72CE" w:rsidRPr="00C11A5A" w:rsidRDefault="00C11A5A">
      <w:pPr>
        <w:spacing w:line="360" w:lineRule="auto"/>
        <w:rPr>
          <w:lang w:val="es-ES"/>
        </w:rPr>
      </w:pPr>
      <w:r w:rsidRPr="00C11A5A">
        <w:rPr>
          <w:b/>
          <w:bCs/>
          <w:color w:val="3D403D"/>
          <w:sz w:val="20"/>
          <w:szCs w:val="20"/>
          <w:lang w:val="es-ES"/>
        </w:rPr>
        <w:t>HISTORIAL DE VERSIONES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A1522" w:rsidRPr="007F324A" w14:paraId="31A1CF9C" w14:textId="77777777" w:rsidTr="00FB4313">
        <w:tc>
          <w:tcPr>
            <w:tcW w:w="2254" w:type="dxa"/>
            <w:shd w:val="clear" w:color="auto" w:fill="000000" w:themeFill="text1"/>
          </w:tcPr>
          <w:p w14:paraId="377394E8" w14:textId="4EC6F209" w:rsidR="005A1522" w:rsidRPr="00FB4313" w:rsidRDefault="00634129" w:rsidP="0063412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FB4313">
              <w:rPr>
                <w:b/>
                <w:bCs/>
                <w:color w:val="FFFFFF" w:themeColor="background1"/>
              </w:rPr>
              <w:t>VERSIÓN</w:t>
            </w:r>
          </w:p>
        </w:tc>
        <w:tc>
          <w:tcPr>
            <w:tcW w:w="2254" w:type="dxa"/>
            <w:shd w:val="clear" w:color="auto" w:fill="000000" w:themeFill="text1"/>
          </w:tcPr>
          <w:p w14:paraId="68245CB9" w14:textId="1C1F8A01" w:rsidR="005A1522" w:rsidRPr="00FB4313" w:rsidRDefault="00AA169E" w:rsidP="00AA169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FB4313">
              <w:rPr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254" w:type="dxa"/>
            <w:shd w:val="clear" w:color="auto" w:fill="000000" w:themeFill="text1"/>
          </w:tcPr>
          <w:p w14:paraId="56061A3E" w14:textId="78630F26" w:rsidR="005A1522" w:rsidRPr="00FB4313" w:rsidRDefault="00863205" w:rsidP="00863205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FB4313">
              <w:rPr>
                <w:b/>
                <w:bCs/>
                <w:color w:val="FFFFFF" w:themeColor="background1"/>
              </w:rPr>
              <w:t>NOMBRE</w:t>
            </w:r>
          </w:p>
        </w:tc>
        <w:tc>
          <w:tcPr>
            <w:tcW w:w="2254" w:type="dxa"/>
            <w:shd w:val="clear" w:color="auto" w:fill="000000" w:themeFill="text1"/>
          </w:tcPr>
          <w:p w14:paraId="4329B216" w14:textId="7774D4C7" w:rsidR="005A1522" w:rsidRPr="00FB4313" w:rsidRDefault="005207BC" w:rsidP="005207B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FB4313">
              <w:rPr>
                <w:b/>
                <w:bCs/>
                <w:color w:val="FFFFFF" w:themeColor="background1"/>
              </w:rPr>
              <w:t>DESCRIPCIÓN</w:t>
            </w:r>
          </w:p>
        </w:tc>
      </w:tr>
      <w:tr w:rsidR="005A1522" w:rsidRPr="007F324A" w14:paraId="235D007B" w14:textId="77777777" w:rsidTr="00887542">
        <w:tc>
          <w:tcPr>
            <w:tcW w:w="2254" w:type="dxa"/>
          </w:tcPr>
          <w:p w14:paraId="27A65071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3268BE71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775EC226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094B287D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</w:tr>
      <w:tr w:rsidR="005A1522" w:rsidRPr="007F324A" w14:paraId="0426B8CD" w14:textId="77777777" w:rsidTr="00887542">
        <w:tc>
          <w:tcPr>
            <w:tcW w:w="2254" w:type="dxa"/>
          </w:tcPr>
          <w:p w14:paraId="41E82395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1A9EE1D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F207FFC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CDAE241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5A1522" w:rsidRPr="007F324A" w14:paraId="677D0A39" w14:textId="77777777" w:rsidTr="00887542">
        <w:tc>
          <w:tcPr>
            <w:tcW w:w="2254" w:type="dxa"/>
          </w:tcPr>
          <w:p w14:paraId="5C8C3423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9B90E3E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B6406BD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7634C8F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5A1522" w:rsidRPr="007F324A" w14:paraId="157B4205" w14:textId="77777777" w:rsidTr="00887542">
        <w:tc>
          <w:tcPr>
            <w:tcW w:w="2254" w:type="dxa"/>
          </w:tcPr>
          <w:p w14:paraId="42FE2BB6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BDFBA63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0FE3691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38020E7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5A1522" w:rsidRPr="007F324A" w14:paraId="158BAA36" w14:textId="77777777" w:rsidTr="00887542">
        <w:tc>
          <w:tcPr>
            <w:tcW w:w="2254" w:type="dxa"/>
          </w:tcPr>
          <w:p w14:paraId="34A07649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AE69867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B715EA4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7488E65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5A1522" w:rsidRPr="007F324A" w14:paraId="4DD91358" w14:textId="77777777" w:rsidTr="00887542">
        <w:tc>
          <w:tcPr>
            <w:tcW w:w="2254" w:type="dxa"/>
          </w:tcPr>
          <w:p w14:paraId="2A0D9436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5FBB71A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4AC5856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C58054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5A1522" w:rsidRPr="007F324A" w14:paraId="4B1B5A8F" w14:textId="77777777" w:rsidTr="00887542">
        <w:tc>
          <w:tcPr>
            <w:tcW w:w="2254" w:type="dxa"/>
          </w:tcPr>
          <w:p w14:paraId="1BC80856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3F49E43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A685412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F6E0750" w14:textId="77777777" w:rsidR="005A1522" w:rsidRPr="007F324A" w:rsidRDefault="005A1522" w:rsidP="00887542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</w:tbl>
    <w:p w14:paraId="6DD2740B" w14:textId="77777777" w:rsidR="008F72CE" w:rsidRPr="001628A0" w:rsidRDefault="00473EA6" w:rsidP="00BE5A13">
      <w:proofErr w:type="spellStart"/>
      <w:r w:rsidRPr="00473EA6">
        <w:rPr>
          <w:b/>
          <w:bCs/>
        </w:rPr>
        <w:t>Responsable</w:t>
      </w:r>
      <w:proofErr w:type="spellEnd"/>
      <w:r w:rsidRPr="00473EA6">
        <w:rPr>
          <w:b/>
          <w:bCs/>
        </w:rPr>
        <w:t xml:space="preserve"> de la </w:t>
      </w:r>
      <w:proofErr w:type="spellStart"/>
      <w:r w:rsidRPr="00473EA6">
        <w:rPr>
          <w:b/>
          <w:bCs/>
        </w:rPr>
        <w:t>política</w:t>
      </w:r>
      <w:proofErr w:type="spellEnd"/>
      <w:r w:rsidRPr="00473EA6">
        <w:rPr>
          <w:b/>
          <w:bCs/>
        </w:rPr>
        <w:t xml:space="preserve">: </w:t>
      </w:r>
    </w:p>
    <w:p w14:paraId="4AAE63CE" w14:textId="77777777" w:rsidR="008F72CE" w:rsidRPr="001628A0" w:rsidRDefault="00C435EE" w:rsidP="00F31F78">
      <w:proofErr w:type="spellStart"/>
      <w:r w:rsidRPr="00C435EE">
        <w:rPr>
          <w:b/>
          <w:bCs/>
        </w:rPr>
        <w:t>Próxima</w:t>
      </w:r>
      <w:proofErr w:type="spellEnd"/>
      <w:r w:rsidRPr="00C435EE">
        <w:rPr>
          <w:b/>
          <w:bCs/>
        </w:rPr>
        <w:t xml:space="preserve"> </w:t>
      </w:r>
      <w:proofErr w:type="spellStart"/>
      <w:r w:rsidRPr="00C435EE">
        <w:rPr>
          <w:b/>
          <w:bCs/>
        </w:rPr>
        <w:t>revisión</w:t>
      </w:r>
      <w:proofErr w:type="spellEnd"/>
      <w:r w:rsidRPr="00C435EE">
        <w:rPr>
          <w:b/>
          <w:bCs/>
        </w:rPr>
        <w:t xml:space="preserve">: </w:t>
      </w:r>
    </w:p>
    <w:p w14:paraId="70C87842" w14:textId="0501B0DA" w:rsidR="00BA5F41" w:rsidRDefault="00BA5F41">
      <w:pPr>
        <w:spacing w:before="0" w:after="160" w:line="25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sdt>
      <w:sdtPr>
        <w:rPr>
          <w:b w:val="0"/>
          <w:sz w:val="18"/>
        </w:rPr>
        <w:id w:val="497315833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1751F4D4" w14:textId="5CC96F3D" w:rsidR="009D64C9" w:rsidRDefault="00385FE0">
          <w:pPr>
            <w:pStyle w:val="TOCHeading"/>
          </w:pPr>
          <w:proofErr w:type="spellStart"/>
          <w:r>
            <w:t>Índice</w:t>
          </w:r>
          <w:proofErr w:type="spellEnd"/>
        </w:p>
        <w:p w14:paraId="281B0327" w14:textId="387675EF" w:rsidR="00FB4313" w:rsidRDefault="009D64C9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867800" w:history="1">
            <w:r w:rsidR="00FB4313" w:rsidRPr="008144FD">
              <w:rPr>
                <w:rStyle w:val="Hyperlink"/>
                <w:noProof/>
                <w:lang w:val="es-ES"/>
              </w:rPr>
              <w:t>Resumen general</w:t>
            </w:r>
            <w:r w:rsidR="00FB4313">
              <w:rPr>
                <w:noProof/>
                <w:webHidden/>
              </w:rPr>
              <w:tab/>
            </w:r>
            <w:r w:rsidR="00FB4313">
              <w:rPr>
                <w:noProof/>
                <w:webHidden/>
              </w:rPr>
              <w:fldChar w:fldCharType="begin"/>
            </w:r>
            <w:r w:rsidR="00FB4313">
              <w:rPr>
                <w:noProof/>
                <w:webHidden/>
              </w:rPr>
              <w:instrText xml:space="preserve"> PAGEREF _Toc237867800 \h </w:instrText>
            </w:r>
            <w:r w:rsidR="00FB4313">
              <w:rPr>
                <w:noProof/>
                <w:webHidden/>
              </w:rPr>
            </w:r>
            <w:r w:rsidR="00FB4313">
              <w:rPr>
                <w:noProof/>
                <w:webHidden/>
              </w:rPr>
              <w:fldChar w:fldCharType="separate"/>
            </w:r>
            <w:r w:rsidR="00FB4313">
              <w:rPr>
                <w:noProof/>
                <w:webHidden/>
              </w:rPr>
              <w:t>3</w:t>
            </w:r>
            <w:r w:rsidR="00FB4313">
              <w:rPr>
                <w:noProof/>
                <w:webHidden/>
              </w:rPr>
              <w:fldChar w:fldCharType="end"/>
            </w:r>
          </w:hyperlink>
        </w:p>
        <w:p w14:paraId="2F54A831" w14:textId="498CD7A7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1" w:history="1">
            <w:r w:rsidRPr="008144FD">
              <w:rPr>
                <w:rStyle w:val="Hyperlink"/>
                <w:noProof/>
              </w:rPr>
              <w:t>Finalidad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51C0B" w14:textId="39DA22C1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2" w:history="1">
            <w:r w:rsidRPr="008144FD">
              <w:rPr>
                <w:rStyle w:val="Hyperlink"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1AD55" w14:textId="00261A66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3" w:history="1">
            <w:r w:rsidRPr="008144FD">
              <w:rPr>
                <w:rStyle w:val="Hyperlink"/>
                <w:noProof/>
              </w:rPr>
              <w:t>Política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37FD4" w14:textId="3DED75D1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4" w:history="1">
            <w:r w:rsidRPr="008144FD">
              <w:rPr>
                <w:rStyle w:val="Hyperlink"/>
                <w:noProof/>
              </w:rPr>
              <w:t>Roles y responsabilidades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BBBDC" w14:textId="3F44D116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5" w:history="1">
            <w:r w:rsidRPr="008144FD">
              <w:rPr>
                <w:rStyle w:val="Hyperlink"/>
                <w:noProof/>
                <w:lang w:val="es-ES"/>
              </w:rPr>
              <w:t>Estructura del inventario de activos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E2CA94" w14:textId="403F02A7" w:rsidR="00FB4313" w:rsidRDefault="00FB4313">
          <w:pPr>
            <w:pStyle w:val="TOC2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6" w:history="1">
            <w:r w:rsidRPr="008144FD">
              <w:rPr>
                <w:rStyle w:val="Hyperlink"/>
                <w:noProof/>
              </w:rPr>
              <w:t>Clasificación de activos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25991" w14:textId="0D03A8A8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7" w:history="1">
            <w:r w:rsidRPr="008144FD">
              <w:rPr>
                <w:rStyle w:val="Hyperlink"/>
                <w:noProof/>
                <w:lang w:val="es-ES"/>
              </w:rPr>
              <w:t>Gestión del ciclo de vida de los activos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30CA8" w14:textId="5CFAB303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8" w:history="1">
            <w:r w:rsidRPr="008144FD">
              <w:rPr>
                <w:rStyle w:val="Hyperlink"/>
                <w:noProof/>
                <w:lang w:val="es-ES"/>
              </w:rPr>
              <w:t>Directrices para el mantenimiento y conservación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961F9" w14:textId="11246B44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09" w:history="1">
            <w:r w:rsidRPr="008144FD">
              <w:rPr>
                <w:rStyle w:val="Hyperlink"/>
                <w:noProof/>
              </w:rPr>
              <w:t>Uso aceptable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30583D" w14:textId="092C26D9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10" w:history="1">
            <w:r w:rsidRPr="008144FD">
              <w:rPr>
                <w:rStyle w:val="Hyperlink"/>
                <w:noProof/>
              </w:rPr>
              <w:t>Excepción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5DA46" w14:textId="566B57EC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11" w:history="1">
            <w:r w:rsidRPr="008144FD">
              <w:rPr>
                <w:rStyle w:val="Hyperlink"/>
                <w:noProof/>
              </w:rPr>
              <w:t>Cumplimiento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39F86" w14:textId="27F11074" w:rsidR="00FB4313" w:rsidRDefault="00FB4313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7867812" w:history="1">
            <w:r w:rsidRPr="008144FD">
              <w:rPr>
                <w:rStyle w:val="Hyperlink"/>
                <w:noProof/>
              </w:rPr>
              <w:t>Apéndice: 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_Toc237867812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A2C14" w14:textId="2F8BA754" w:rsidR="009D64C9" w:rsidRDefault="009D64C9">
          <w:r>
            <w:rPr>
              <w:b/>
              <w:bCs/>
              <w:noProof/>
            </w:rPr>
            <w:fldChar w:fldCharType="end"/>
          </w:r>
        </w:p>
      </w:sdtContent>
    </w:sdt>
    <w:p w14:paraId="1211D95D" w14:textId="71FE9A19" w:rsidR="009D64C9" w:rsidRDefault="009D64C9">
      <w:pPr>
        <w:spacing w:before="0" w:after="160" w:line="259" w:lineRule="auto"/>
        <w:rPr>
          <w:rFonts w:eastAsiaTheme="majorEastAsia" w:cs="Times New Roman (Headings CS)"/>
          <w:b/>
          <w:sz w:val="32"/>
          <w:szCs w:val="32"/>
        </w:rPr>
      </w:pPr>
      <w:r>
        <w:br w:type="page"/>
      </w:r>
    </w:p>
    <w:p w14:paraId="6CFD5380" w14:textId="71FE9A19" w:rsidR="008F72CE" w:rsidRPr="00FB4313" w:rsidRDefault="001E2B9C" w:rsidP="00FB4313">
      <w:pPr>
        <w:pStyle w:val="Heading1"/>
        <w:numPr>
          <w:ilvl w:val="0"/>
          <w:numId w:val="0"/>
        </w:numPr>
        <w:rPr>
          <w:lang w:val="es-ES"/>
        </w:rPr>
      </w:pPr>
      <w:bookmarkStart w:id="0" w:name="_Toc237867800"/>
      <w:r w:rsidRPr="00FB4313">
        <w:rPr>
          <w:lang w:val="es-ES"/>
        </w:rPr>
        <w:lastRenderedPageBreak/>
        <w:t>Resumen general</w:t>
      </w:r>
      <w:bookmarkEnd w:id="0"/>
      <w:r w:rsidRPr="00FB4313">
        <w:rPr>
          <w:lang w:val="es-ES"/>
        </w:rPr>
        <w:t xml:space="preserve"> </w:t>
      </w:r>
    </w:p>
    <w:p w14:paraId="6955469B" w14:textId="4BDB7C95" w:rsidR="003E67D5" w:rsidRDefault="004941B7">
      <w:pPr>
        <w:rPr>
          <w:kern w:val="2"/>
          <w:lang w:val="es-ES" w:eastAsia="es-ES"/>
          <w14:ligatures w14:val="standardContextual"/>
        </w:rPr>
      </w:pPr>
      <w:r w:rsidRPr="004941B7">
        <w:rPr>
          <w:shd w:val="clear" w:color="auto" w:fill="FFFF00"/>
          <w:lang w:val="es-ES"/>
        </w:rPr>
        <w:t>[NOMBRE DE LA EMPRESA]</w:t>
      </w:r>
      <w:r w:rsidRPr="004941B7">
        <w:rPr>
          <w:lang w:val="es-ES"/>
        </w:rPr>
        <w:t xml:space="preserve"> se compromete a cumplir sus responsabilidades legales, regulatorias y éticas para proteger la información personal ("IP") de su personal, socios y clientes. Una gestión eficaz de los activos de tecnologías de la información (TI) incluye mantener un inventario completo de todos los activos</w:t>
      </w:r>
      <w:r>
        <w:rPr>
          <w:rStyle w:val="FootnoteReference"/>
        </w:rPr>
        <w:footnoteReference w:id="2"/>
      </w:r>
      <w:r w:rsidRPr="004941B7">
        <w:rPr>
          <w:lang w:val="es-ES"/>
        </w:rPr>
        <w:t xml:space="preserve">  de TI de la red, garantizar la visibilidad y el control del entorno de TI e implementar medidas para evitar el acceso y uso no autorizados.</w:t>
      </w:r>
    </w:p>
    <w:p w14:paraId="5A306ECE" w14:textId="5159E35A" w:rsidR="008F72CE" w:rsidRPr="001628A0" w:rsidRDefault="00703D0E" w:rsidP="00FB4313">
      <w:pPr>
        <w:pStyle w:val="Heading1"/>
        <w:numPr>
          <w:ilvl w:val="0"/>
          <w:numId w:val="0"/>
        </w:numPr>
      </w:pPr>
      <w:bookmarkStart w:id="1" w:name="_Toc237867801"/>
      <w:proofErr w:type="spellStart"/>
      <w:r w:rsidRPr="00703D0E">
        <w:t>Finalidad</w:t>
      </w:r>
      <w:bookmarkEnd w:id="1"/>
      <w:proofErr w:type="spellEnd"/>
    </w:p>
    <w:p w14:paraId="7D3376EA" w14:textId="77777777" w:rsidR="008F72CE" w:rsidRPr="00E40D0C" w:rsidRDefault="00E40D0C" w:rsidP="00E83AA2">
      <w:pPr>
        <w:rPr>
          <w:lang w:val="es-ES"/>
        </w:rPr>
      </w:pPr>
      <w:r w:rsidRPr="00E40D0C">
        <w:rPr>
          <w:lang w:val="es-ES"/>
        </w:rPr>
        <w:t xml:space="preserve">Esta política establece los requisitos para desarrollar y mantener un inventario completo de los activos de TI de </w:t>
      </w:r>
      <w:r w:rsidRPr="00E40D0C">
        <w:rPr>
          <w:shd w:val="clear" w:color="auto" w:fill="FFFF00"/>
          <w:lang w:val="es-ES"/>
        </w:rPr>
        <w:t>[NOMBRE DE LA EMPRESA]</w:t>
      </w:r>
      <w:r w:rsidRPr="00E40D0C">
        <w:rPr>
          <w:lang w:val="es-ES"/>
        </w:rPr>
        <w:t>, y define un proceso para gestionar dichos activos durante todo su ciclo de vida útil, desde su adquisición hasta su eliminación o destrucción.</w:t>
      </w:r>
      <w:r w:rsidRPr="00E40D0C">
        <w:rPr>
          <w:color w:val="374151"/>
          <w:shd w:val="clear" w:color="auto" w:fill="FFFFFF"/>
          <w:lang w:val="es-ES"/>
        </w:rPr>
        <w:t xml:space="preserve"> </w:t>
      </w:r>
      <w:r w:rsidRPr="00E40D0C">
        <w:rPr>
          <w:lang w:val="es-ES"/>
        </w:rPr>
        <w:t>Un inventario integral de activos de TI es esencial para identificar posibles vulnerabilidades y gestionar eficazmente el riesgo dentro del entorno de TI.</w:t>
      </w:r>
    </w:p>
    <w:p w14:paraId="226B3F17" w14:textId="51032619" w:rsidR="003E67D5" w:rsidRDefault="008C522B" w:rsidP="00FB4313">
      <w:pPr>
        <w:pStyle w:val="Heading1"/>
        <w:numPr>
          <w:ilvl w:val="0"/>
          <w:numId w:val="0"/>
        </w:numPr>
        <w:rPr>
          <w:kern w:val="36"/>
          <w:lang w:val="es-ES" w:eastAsia="es-ES"/>
          <w14:ligatures w14:val="standardContextual"/>
        </w:rPr>
      </w:pPr>
      <w:bookmarkStart w:id="2" w:name="_Toc237867802"/>
      <w:proofErr w:type="spellStart"/>
      <w:r w:rsidRPr="008C522B">
        <w:t>Alcance</w:t>
      </w:r>
      <w:bookmarkEnd w:id="2"/>
      <w:proofErr w:type="spellEnd"/>
      <w:r w:rsidRPr="008C522B">
        <w:t xml:space="preserve"> </w:t>
      </w:r>
    </w:p>
    <w:p w14:paraId="1ABA2E62" w14:textId="77777777" w:rsidR="008F72CE" w:rsidRPr="000C30B1" w:rsidRDefault="000C30B1" w:rsidP="00584FF3">
      <w:pPr>
        <w:rPr>
          <w:lang w:val="es-ES"/>
        </w:rPr>
      </w:pPr>
      <w:r w:rsidRPr="000C30B1">
        <w:rPr>
          <w:lang w:val="es-ES"/>
        </w:rPr>
        <w:t xml:space="preserve">Esta política se aplica a todos los activos de TI conectados a la red de </w:t>
      </w:r>
      <w:r w:rsidRPr="000C30B1">
        <w:rPr>
          <w:shd w:val="clear" w:color="auto" w:fill="FFFF00"/>
          <w:lang w:val="es-ES"/>
        </w:rPr>
        <w:t>[NOMBRE DE LA EMPRESA]</w:t>
      </w:r>
      <w:r w:rsidRPr="000C30B1">
        <w:rPr>
          <w:lang w:val="es-ES"/>
        </w:rPr>
        <w:t xml:space="preserve">, incluidos, entre otros, estaciones de trabajo, ordenadores portátiles, tabletas, smartphones, servidores, dispositivos, switches de red y </w:t>
      </w:r>
      <w:proofErr w:type="spellStart"/>
      <w:r w:rsidRPr="000C30B1">
        <w:rPr>
          <w:lang w:val="es-ES"/>
        </w:rPr>
        <w:t>routers</w:t>
      </w:r>
      <w:proofErr w:type="spellEnd"/>
      <w:r w:rsidRPr="000C30B1">
        <w:rPr>
          <w:lang w:val="es-ES"/>
        </w:rPr>
        <w:t xml:space="preserve">, así como todo el software utilizado en dichos dispositivos. Incluye los activos propiedad de </w:t>
      </w:r>
      <w:r w:rsidRPr="000C30B1">
        <w:rPr>
          <w:shd w:val="clear" w:color="auto" w:fill="FFFF00"/>
          <w:lang w:val="es-ES"/>
        </w:rPr>
        <w:t>[NOMBRE DE LA EMPRESA]</w:t>
      </w:r>
      <w:r w:rsidRPr="000C30B1">
        <w:rPr>
          <w:lang w:val="es-ES"/>
        </w:rPr>
        <w:t>, arrendados o gestionados por esta.</w:t>
      </w:r>
    </w:p>
    <w:p w14:paraId="6793F303" w14:textId="77777777" w:rsidR="008F72CE" w:rsidRPr="00F50E66" w:rsidRDefault="00F50E66" w:rsidP="00124B7F">
      <w:pPr>
        <w:rPr>
          <w:lang w:val="es-ES"/>
        </w:rPr>
      </w:pPr>
      <w:r w:rsidRPr="00F50E66">
        <w:rPr>
          <w:lang w:val="es-ES"/>
        </w:rPr>
        <w:t xml:space="preserve">El </w:t>
      </w:r>
      <w:r w:rsidRPr="00F50E66">
        <w:rPr>
          <w:rStyle w:val="normaltextrun"/>
          <w:shd w:val="clear" w:color="auto" w:fill="FFFF00"/>
          <w:lang w:val="es-ES"/>
        </w:rPr>
        <w:t>[EQUIPO/DEPARTAMENTO CORRESPONDIENTE]</w:t>
      </w:r>
      <w:r w:rsidRPr="00F50E66">
        <w:rPr>
          <w:rStyle w:val="normaltextrun"/>
          <w:lang w:val="es-ES"/>
        </w:rPr>
        <w:t xml:space="preserve"> </w:t>
      </w:r>
      <w:r w:rsidRPr="00F50E66">
        <w:rPr>
          <w:lang w:val="es-ES"/>
        </w:rPr>
        <w:t>es responsable de añadir, actualizar o eliminar activos de información del inventario y de la red.</w:t>
      </w:r>
    </w:p>
    <w:p w14:paraId="10FAEEE3" w14:textId="00D98053" w:rsidR="003E67D5" w:rsidRDefault="000E1A1E" w:rsidP="00FB4313">
      <w:pPr>
        <w:pStyle w:val="Heading1"/>
        <w:numPr>
          <w:ilvl w:val="0"/>
          <w:numId w:val="0"/>
        </w:numPr>
        <w:rPr>
          <w:kern w:val="36"/>
          <w:lang w:val="es-ES" w:eastAsia="es-ES"/>
          <w14:ligatures w14:val="standardContextual"/>
        </w:rPr>
      </w:pPr>
      <w:bookmarkStart w:id="3" w:name="_Toc237867803"/>
      <w:r w:rsidRPr="000E1A1E">
        <w:t>Política</w:t>
      </w:r>
      <w:bookmarkEnd w:id="3"/>
    </w:p>
    <w:p w14:paraId="41337712" w14:textId="77777777" w:rsidR="008F72CE" w:rsidRPr="00761A0C" w:rsidRDefault="00761A0C" w:rsidP="005428DA">
      <w:pPr>
        <w:rPr>
          <w:lang w:val="es-ES"/>
        </w:rPr>
      </w:pPr>
      <w:r w:rsidRPr="00761A0C">
        <w:rPr>
          <w:lang w:val="es-ES"/>
        </w:rPr>
        <w:t xml:space="preserve">Todos los activos de TI deberán identificarse, registrarse, clasificarse y gestionarse de forma precisa de conformidad con esta política. </w:t>
      </w:r>
      <w:r w:rsidRPr="00761A0C">
        <w:rPr>
          <w:shd w:val="clear" w:color="auto" w:fill="FFFF00"/>
          <w:lang w:val="es-ES"/>
        </w:rPr>
        <w:t>[NOMBRE DE LA EMPRESA]</w:t>
      </w:r>
      <w:r w:rsidRPr="00761A0C">
        <w:rPr>
          <w:lang w:val="es-ES"/>
        </w:rPr>
        <w:t xml:space="preserve"> deberá garantizar que solo los activos de TI catalogados tengan permitido el acceso a la red. Cualquier activo de TI identificado como no conforme o ausente del inventario será actualizado para cumplir los requisitos o eliminado de la red de forma inmediata, utilizando procesos manuales o automatizados según resulte necesario.</w:t>
      </w:r>
    </w:p>
    <w:p w14:paraId="5C8FBD51" w14:textId="77777777" w:rsidR="005E464C" w:rsidRPr="00761A0C" w:rsidRDefault="005E464C">
      <w:pPr>
        <w:spacing w:before="0" w:after="160" w:line="259" w:lineRule="auto"/>
        <w:rPr>
          <w:lang w:val="es-ES"/>
        </w:rPr>
      </w:pPr>
      <w:r w:rsidRPr="00761A0C">
        <w:rPr>
          <w:lang w:val="es-ES"/>
        </w:rPr>
        <w:br w:type="page"/>
      </w:r>
    </w:p>
    <w:p w14:paraId="2DE73E8C" w14:textId="6CFCB690" w:rsidR="008F72CE" w:rsidRPr="001628A0" w:rsidRDefault="004A0965" w:rsidP="00FB4313">
      <w:pPr>
        <w:pStyle w:val="Heading1"/>
        <w:numPr>
          <w:ilvl w:val="0"/>
          <w:numId w:val="0"/>
        </w:numPr>
      </w:pPr>
      <w:bookmarkStart w:id="4" w:name="_Toc237867804"/>
      <w:r>
        <w:lastRenderedPageBreak/>
        <w:t>Roles</w:t>
      </w:r>
      <w:r w:rsidR="004F18E3" w:rsidRPr="004F18E3">
        <w:t xml:space="preserve"> y </w:t>
      </w:r>
      <w:proofErr w:type="spellStart"/>
      <w:r w:rsidR="004F18E3" w:rsidRPr="004F18E3">
        <w:t>responsabilidades</w:t>
      </w:r>
      <w:bookmarkEnd w:id="4"/>
      <w:proofErr w:type="spellEnd"/>
      <w:r w:rsidR="004F18E3" w:rsidRPr="004F18E3">
        <w:t xml:space="preserve"> </w:t>
      </w:r>
    </w:p>
    <w:tbl>
      <w:tblPr>
        <w:tblStyle w:val="SRM-Table"/>
        <w:tblW w:w="9214" w:type="dxa"/>
        <w:tblInd w:w="-5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5E464C" w:rsidRPr="00965199" w14:paraId="721B9B0E" w14:textId="77777777" w:rsidTr="005E46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tcW w:w="2694" w:type="dxa"/>
          </w:tcPr>
          <w:p w14:paraId="57C49D6B" w14:textId="10D44300" w:rsidR="005E464C" w:rsidRPr="00965199" w:rsidRDefault="004A0965" w:rsidP="00E43394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/>
              </w:rPr>
              <w:t>Rol</w:t>
            </w:r>
          </w:p>
        </w:tc>
        <w:tc>
          <w:tcPr>
            <w:tcW w:w="6520" w:type="dxa"/>
          </w:tcPr>
          <w:p w14:paraId="2CD7E93D" w14:textId="75A70FC2" w:rsidR="005E464C" w:rsidRPr="00965199" w:rsidRDefault="00AD19CB" w:rsidP="00AD19C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proofErr w:type="spellStart"/>
            <w:r w:rsidRPr="00AD19CB">
              <w:rPr>
                <w:b/>
                <w:bCs/>
                <w:color w:val="FFFFFF"/>
              </w:rPr>
              <w:t>Responsabilidades</w:t>
            </w:r>
            <w:proofErr w:type="spellEnd"/>
          </w:p>
        </w:tc>
      </w:tr>
      <w:tr w:rsidR="005E464C" w:rsidRPr="00FB4313" w14:paraId="1C4E27ED" w14:textId="77777777" w:rsidTr="00461E84">
        <w:trPr>
          <w:trHeight w:val="999"/>
        </w:trPr>
        <w:tc>
          <w:tcPr>
            <w:tcW w:w="2694" w:type="dxa"/>
          </w:tcPr>
          <w:p w14:paraId="28185662" w14:textId="7E050D47" w:rsidR="005E464C" w:rsidRPr="00431C35" w:rsidRDefault="00431C35" w:rsidP="00431C35">
            <w:pPr>
              <w:pStyle w:val="TableText"/>
              <w:rPr>
                <w:rFonts w:asciiTheme="minorHAnsi" w:hAnsiTheme="minorHAnsi" w:cstheme="minorHAnsi"/>
                <w:b/>
                <w:bCs/>
                <w:i/>
                <w:iCs/>
                <w:lang w:val="es-ES"/>
              </w:rPr>
            </w:pPr>
            <w:r w:rsidRPr="00431C35">
              <w:rPr>
                <w:b/>
                <w:bCs/>
                <w:i/>
                <w:iCs/>
                <w:shd w:val="clear" w:color="auto" w:fill="FFFF00"/>
                <w:lang w:val="es-ES"/>
              </w:rPr>
              <w:t>[P. ej., Consejo de Administración o Comité Ejecutivo]</w:t>
            </w:r>
          </w:p>
        </w:tc>
        <w:tc>
          <w:tcPr>
            <w:tcW w:w="6520" w:type="dxa"/>
          </w:tcPr>
          <w:p w14:paraId="5C2514FF" w14:textId="77777777" w:rsidR="008F72CE" w:rsidRPr="00A44816" w:rsidRDefault="00A44816" w:rsidP="00A44816">
            <w:pPr>
              <w:pStyle w:val="Table-bullet"/>
              <w:rPr>
                <w:lang w:val="es-ES"/>
              </w:rPr>
            </w:pPr>
            <w:r w:rsidRPr="00A44816">
              <w:rPr>
                <w:lang w:val="es-ES"/>
              </w:rPr>
              <w:t>Respaldar y promover el cumplimiento de la política de gestión de activos.</w:t>
            </w:r>
          </w:p>
          <w:p w14:paraId="5321AF0C" w14:textId="77777777" w:rsidR="008F72CE" w:rsidRPr="00465E53" w:rsidRDefault="00465E53" w:rsidP="00465E53">
            <w:pPr>
              <w:pStyle w:val="Table-bullet"/>
              <w:rPr>
                <w:lang w:val="es-ES"/>
              </w:rPr>
            </w:pPr>
            <w:r w:rsidRPr="00465E53">
              <w:rPr>
                <w:lang w:val="es-ES"/>
              </w:rPr>
              <w:t>Garantizar la asignación de recursos para la implementación eficaz de la política.</w:t>
            </w:r>
          </w:p>
          <w:p w14:paraId="08E03497" w14:textId="7B1A4B7C" w:rsidR="005E464C" w:rsidRPr="00CF589E" w:rsidRDefault="00CF589E" w:rsidP="00CF589E">
            <w:pPr>
              <w:pStyle w:val="Table-bullet"/>
              <w:rPr>
                <w:lang w:val="es-ES"/>
              </w:rPr>
            </w:pPr>
            <w:r w:rsidRPr="00CF589E">
              <w:rPr>
                <w:lang w:val="es-ES"/>
              </w:rPr>
              <w:t>Revisar y aprobar cambios relevantes en las políticas de gestión de activos.</w:t>
            </w:r>
          </w:p>
        </w:tc>
      </w:tr>
      <w:tr w:rsidR="005E464C" w:rsidRPr="00FB4313" w14:paraId="393CD720" w14:textId="77777777" w:rsidTr="005E464C">
        <w:trPr>
          <w:trHeight w:val="2032"/>
        </w:trPr>
        <w:tc>
          <w:tcPr>
            <w:tcW w:w="2694" w:type="dxa"/>
          </w:tcPr>
          <w:p w14:paraId="7D5E62DF" w14:textId="096A6242" w:rsidR="005E464C" w:rsidRPr="00A2170D" w:rsidRDefault="00A2170D" w:rsidP="00A2170D">
            <w:pPr>
              <w:pStyle w:val="TableText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A2170D">
              <w:rPr>
                <w:b/>
                <w:bCs/>
                <w:lang w:val="es-ES"/>
              </w:rPr>
              <w:t>[</w:t>
            </w:r>
            <w:r w:rsidRPr="00A2170D">
              <w:rPr>
                <w:b/>
                <w:bCs/>
                <w:i/>
                <w:iCs/>
                <w:shd w:val="clear" w:color="auto" w:fill="FFFF00"/>
                <w:lang w:val="es-ES"/>
              </w:rPr>
              <w:t xml:space="preserve">P. ej., </w:t>
            </w:r>
            <w:proofErr w:type="gramStart"/>
            <w:r w:rsidRPr="00A2170D">
              <w:rPr>
                <w:b/>
                <w:bCs/>
                <w:i/>
                <w:iCs/>
                <w:shd w:val="clear" w:color="auto" w:fill="FFFF00"/>
                <w:lang w:val="es-ES"/>
              </w:rPr>
              <w:t>Responsable</w:t>
            </w:r>
            <w:proofErr w:type="gramEnd"/>
            <w:r w:rsidRPr="00A2170D">
              <w:rPr>
                <w:b/>
                <w:bCs/>
                <w:i/>
                <w:iCs/>
                <w:shd w:val="clear" w:color="auto" w:fill="FFFF00"/>
                <w:lang w:val="es-ES"/>
              </w:rPr>
              <w:t xml:space="preserve"> de Infraestructura o Tecnología de la Información</w:t>
            </w:r>
            <w:r w:rsidRPr="00A2170D">
              <w:rPr>
                <w:b/>
                <w:bCs/>
                <w:shd w:val="clear" w:color="auto" w:fill="FFFF00"/>
                <w:lang w:val="es-ES"/>
              </w:rPr>
              <w:t>]</w:t>
            </w:r>
          </w:p>
        </w:tc>
        <w:tc>
          <w:tcPr>
            <w:tcW w:w="6520" w:type="dxa"/>
          </w:tcPr>
          <w:p w14:paraId="16888C20" w14:textId="77777777" w:rsidR="008F72CE" w:rsidRPr="00845B06" w:rsidRDefault="00845B06" w:rsidP="00845B06">
            <w:pPr>
              <w:pStyle w:val="Table-bullet"/>
              <w:rPr>
                <w:lang w:val="es-ES"/>
              </w:rPr>
            </w:pPr>
            <w:r w:rsidRPr="00845B06">
              <w:rPr>
                <w:lang w:val="es-ES"/>
              </w:rPr>
              <w:t>Actuar como propietario de la política y supervisar el desarrollo y mantenimiento del inventario de activos de TI.</w:t>
            </w:r>
          </w:p>
          <w:p w14:paraId="35406126" w14:textId="77777777" w:rsidR="008F72CE" w:rsidRPr="00010B33" w:rsidRDefault="00010B33" w:rsidP="00010B33">
            <w:pPr>
              <w:pStyle w:val="Table-bullet"/>
              <w:rPr>
                <w:lang w:val="es-ES"/>
              </w:rPr>
            </w:pPr>
            <w:r w:rsidRPr="00010B33">
              <w:rPr>
                <w:lang w:val="es-ES"/>
              </w:rPr>
              <w:t>Realizar revisiones periódicas del inventario de activos de TI para identificar y abordar los riesgos asociados al incumplimiento.</w:t>
            </w:r>
          </w:p>
          <w:p w14:paraId="14E6849B" w14:textId="77777777" w:rsidR="008F72CE" w:rsidRPr="0060658F" w:rsidRDefault="0060658F" w:rsidP="0060658F">
            <w:pPr>
              <w:pStyle w:val="Table-bullet"/>
              <w:rPr>
                <w:lang w:val="es-ES"/>
              </w:rPr>
            </w:pPr>
            <w:r w:rsidRPr="0060658F">
              <w:rPr>
                <w:lang w:val="es-ES"/>
              </w:rPr>
              <w:t>Garantizar que la política esté alineada con los objetivos estratégicos del negocio y con los requisitos legales y regulatorios.</w:t>
            </w:r>
          </w:p>
          <w:p w14:paraId="4EFC1EF7" w14:textId="05EE6589" w:rsidR="005E464C" w:rsidRPr="00850F6B" w:rsidRDefault="00850F6B" w:rsidP="00850F6B">
            <w:pPr>
              <w:pStyle w:val="Table-bullet"/>
              <w:rPr>
                <w:lang w:val="es-ES"/>
              </w:rPr>
            </w:pPr>
            <w:r w:rsidRPr="00850F6B">
              <w:rPr>
                <w:lang w:val="es-ES"/>
              </w:rPr>
              <w:t>Facilitar y gestionar el proceso de eliminación o devolución de activos de TI de conformidad con la política.</w:t>
            </w:r>
          </w:p>
        </w:tc>
      </w:tr>
      <w:tr w:rsidR="005E464C" w:rsidRPr="00FB4313" w14:paraId="0B8621ED" w14:textId="77777777" w:rsidTr="005E464C">
        <w:trPr>
          <w:trHeight w:val="2439"/>
        </w:trPr>
        <w:tc>
          <w:tcPr>
            <w:tcW w:w="2694" w:type="dxa"/>
          </w:tcPr>
          <w:p w14:paraId="6E15C7F4" w14:textId="30352182" w:rsidR="005E464C" w:rsidRPr="00EA3261" w:rsidRDefault="00EA3261" w:rsidP="00EA3261">
            <w:pPr>
              <w:pStyle w:val="TableText"/>
              <w:rPr>
                <w:rFonts w:asciiTheme="minorHAnsi" w:hAnsiTheme="minorHAnsi" w:cstheme="minorHAnsi"/>
                <w:b/>
                <w:bCs/>
                <w:i/>
                <w:iCs/>
                <w:lang w:val="es-ES"/>
              </w:rPr>
            </w:pPr>
            <w:r w:rsidRPr="00EA3261">
              <w:rPr>
                <w:b/>
                <w:bCs/>
                <w:i/>
                <w:iCs/>
                <w:shd w:val="clear" w:color="auto" w:fill="FFFF00"/>
                <w:lang w:val="es-ES"/>
              </w:rPr>
              <w:t>[P. ej., Propietarios de activos de negocio]</w:t>
            </w:r>
          </w:p>
        </w:tc>
        <w:tc>
          <w:tcPr>
            <w:tcW w:w="6520" w:type="dxa"/>
          </w:tcPr>
          <w:p w14:paraId="1FC1F9AC" w14:textId="77777777" w:rsidR="008F72CE" w:rsidRPr="00604FC7" w:rsidRDefault="00604FC7" w:rsidP="00604FC7">
            <w:pPr>
              <w:pStyle w:val="Table-bullet"/>
              <w:rPr>
                <w:lang w:val="es-ES"/>
              </w:rPr>
            </w:pPr>
            <w:r w:rsidRPr="00604FC7">
              <w:rPr>
                <w:lang w:val="es-ES"/>
              </w:rPr>
              <w:t>Actuar como propietario del activo de TI.</w:t>
            </w:r>
          </w:p>
          <w:p w14:paraId="03D8A634" w14:textId="77777777" w:rsidR="008F72CE" w:rsidRPr="001A0A2B" w:rsidRDefault="001A0A2B" w:rsidP="001A0A2B">
            <w:pPr>
              <w:pStyle w:val="Table-bullet"/>
              <w:rPr>
                <w:lang w:val="es-ES"/>
              </w:rPr>
            </w:pPr>
            <w:r w:rsidRPr="001A0A2B">
              <w:rPr>
                <w:lang w:val="es-ES"/>
              </w:rPr>
              <w:t>Gestionar el uso diario y la protección de los activos de TI asignados dentro de sus unidades de negocio.</w:t>
            </w:r>
          </w:p>
          <w:p w14:paraId="61359849" w14:textId="77777777" w:rsidR="008F72CE" w:rsidRPr="00554B1D" w:rsidRDefault="00554B1D" w:rsidP="00554B1D">
            <w:pPr>
              <w:pStyle w:val="Table-bullet"/>
              <w:rPr>
                <w:lang w:val="es-ES"/>
              </w:rPr>
            </w:pPr>
            <w:r w:rsidRPr="00554B1D">
              <w:rPr>
                <w:lang w:val="es-ES"/>
              </w:rPr>
              <w:t>Garantizar que todos los activos de TI asignados estén registrados, clasificados y cumplan las políticas de gestión de activos.</w:t>
            </w:r>
          </w:p>
          <w:p w14:paraId="54586407" w14:textId="77777777" w:rsidR="003E67D5" w:rsidRPr="00056198" w:rsidRDefault="00056198" w:rsidP="00056198">
            <w:pPr>
              <w:pStyle w:val="Table-bullet"/>
              <w:rPr>
                <w:lang w:val="es-ES"/>
              </w:rPr>
            </w:pPr>
            <w:r w:rsidRPr="00056198">
              <w:rPr>
                <w:lang w:val="es-ES"/>
              </w:rPr>
              <w:t xml:space="preserve">Notificar discrepancias o incumplimientos relacionados con la gestión de activos de TI al </w:t>
            </w:r>
            <w:r w:rsidRPr="00FB4313">
              <w:rPr>
                <w:highlight w:val="yellow"/>
                <w:lang w:val="es-ES"/>
              </w:rPr>
              <w:t>[</w:t>
            </w:r>
            <w:proofErr w:type="gramStart"/>
            <w:r w:rsidRPr="00FB4313">
              <w:rPr>
                <w:highlight w:val="yellow"/>
                <w:lang w:val="es-ES"/>
              </w:rPr>
              <w:t>Responsable</w:t>
            </w:r>
            <w:proofErr w:type="gramEnd"/>
            <w:r w:rsidRPr="00FB4313">
              <w:rPr>
                <w:highlight w:val="yellow"/>
                <w:lang w:val="es-ES"/>
              </w:rPr>
              <w:t xml:space="preserve"> del </w:t>
            </w:r>
            <w:r w:rsidRPr="00FB4313">
              <w:rPr>
                <w:highlight w:val="yellow"/>
                <w:shd w:val="clear" w:color="auto" w:fill="FFFF00"/>
                <w:lang w:val="es-ES"/>
              </w:rPr>
              <w:t>Departamento</w:t>
            </w:r>
            <w:r w:rsidRPr="00056198">
              <w:rPr>
                <w:shd w:val="clear" w:color="auto" w:fill="FFFF00"/>
                <w:lang w:val="es-ES"/>
              </w:rPr>
              <w:t xml:space="preserve"> de Seguridad de la Información]</w:t>
            </w:r>
          </w:p>
          <w:p w14:paraId="17434A4D" w14:textId="45471104" w:rsidR="005E464C" w:rsidRPr="00ED7E84" w:rsidRDefault="00ED7E84" w:rsidP="00ED7E84">
            <w:pPr>
              <w:pStyle w:val="Table-bullet"/>
              <w:rPr>
                <w:lang w:val="es-ES"/>
              </w:rPr>
            </w:pPr>
            <w:r w:rsidRPr="00ED7E84">
              <w:rPr>
                <w:lang w:val="es-ES"/>
              </w:rPr>
              <w:t>Implementar procedimientos para realizar evaluaciones periódicas del estado y rendimiento de los activos.</w:t>
            </w:r>
          </w:p>
        </w:tc>
      </w:tr>
      <w:tr w:rsidR="005E464C" w:rsidRPr="00FB4313" w14:paraId="1DE54F93" w14:textId="77777777" w:rsidTr="005E464C">
        <w:trPr>
          <w:trHeight w:val="2032"/>
        </w:trPr>
        <w:tc>
          <w:tcPr>
            <w:tcW w:w="2694" w:type="dxa"/>
          </w:tcPr>
          <w:p w14:paraId="33D02C2F" w14:textId="316A6691" w:rsidR="005E464C" w:rsidRPr="00F94A37" w:rsidRDefault="00F94A37" w:rsidP="00F94A37">
            <w:pPr>
              <w:pStyle w:val="TableText"/>
              <w:rPr>
                <w:rFonts w:asciiTheme="minorHAnsi" w:hAnsiTheme="minorHAnsi" w:cstheme="minorHAnsi"/>
                <w:b/>
                <w:bCs/>
                <w:i/>
                <w:iCs/>
                <w:highlight w:val="yellow"/>
                <w:lang w:val="es-ES"/>
              </w:rPr>
            </w:pPr>
            <w:r w:rsidRPr="00F94A37">
              <w:rPr>
                <w:b/>
                <w:bCs/>
                <w:i/>
                <w:iCs/>
                <w:shd w:val="clear" w:color="auto" w:fill="FFFF00"/>
                <w:lang w:val="es-ES"/>
              </w:rPr>
              <w:t>[P. ej., Departamento de Seguridad de la Información]</w:t>
            </w:r>
          </w:p>
        </w:tc>
        <w:tc>
          <w:tcPr>
            <w:tcW w:w="6520" w:type="dxa"/>
          </w:tcPr>
          <w:p w14:paraId="74822E6F" w14:textId="77777777" w:rsidR="008F72CE" w:rsidRPr="00B16ED8" w:rsidRDefault="00B16ED8" w:rsidP="00B16ED8">
            <w:pPr>
              <w:pStyle w:val="Table-bullet"/>
              <w:rPr>
                <w:lang w:val="es-ES"/>
              </w:rPr>
            </w:pPr>
            <w:r w:rsidRPr="00B16ED8">
              <w:rPr>
                <w:lang w:val="es-ES"/>
              </w:rPr>
              <w:t>Identificar y evaluar los riesgos de seguridad asociados a los activos de TI y proponer estrategias de mitigación.</w:t>
            </w:r>
          </w:p>
          <w:p w14:paraId="3F4C64E5" w14:textId="77777777" w:rsidR="008F72CE" w:rsidRPr="00E9383F" w:rsidRDefault="00E9383F" w:rsidP="00E9383F">
            <w:pPr>
              <w:pStyle w:val="Table-bullet"/>
              <w:rPr>
                <w:lang w:val="es-ES"/>
              </w:rPr>
            </w:pPr>
            <w:r w:rsidRPr="00E9383F">
              <w:rPr>
                <w:lang w:val="es-ES"/>
              </w:rPr>
              <w:t>Garantizar que los activos de TI cumplan los estándares y requisitos de seguridad de la empresa.</w:t>
            </w:r>
          </w:p>
          <w:p w14:paraId="0ED13CC8" w14:textId="77777777" w:rsidR="008F72CE" w:rsidRPr="008A47D1" w:rsidRDefault="008A47D1" w:rsidP="008A47D1">
            <w:pPr>
              <w:pStyle w:val="Table-bullet"/>
              <w:rPr>
                <w:lang w:val="es-ES"/>
              </w:rPr>
            </w:pPr>
            <w:r w:rsidRPr="008A47D1">
              <w:rPr>
                <w:lang w:val="es-ES"/>
              </w:rPr>
              <w:t>Realizar evaluaciones de vulnerabilidades y riesgos de seguridad sobre los activos de TI para identificar debilidades y priorizar las acciones de remediación.</w:t>
            </w:r>
          </w:p>
          <w:p w14:paraId="6FF82661" w14:textId="6867CCD4" w:rsidR="005E464C" w:rsidRPr="000E0AB0" w:rsidRDefault="000E0AB0" w:rsidP="000E0AB0">
            <w:pPr>
              <w:pStyle w:val="Table-bullet"/>
              <w:rPr>
                <w:lang w:val="es-ES"/>
              </w:rPr>
            </w:pPr>
            <w:r w:rsidRPr="000E0AB0">
              <w:rPr>
                <w:lang w:val="es-ES"/>
              </w:rPr>
              <w:t>Establecer y aplicar medidas de control de acceso para garantizar el acceso autorizado a los activos de TI.</w:t>
            </w:r>
          </w:p>
        </w:tc>
      </w:tr>
      <w:tr w:rsidR="005E464C" w:rsidRPr="00FB4313" w14:paraId="655B4104" w14:textId="77777777" w:rsidTr="005E464C">
        <w:trPr>
          <w:trHeight w:val="2032"/>
        </w:trPr>
        <w:tc>
          <w:tcPr>
            <w:tcW w:w="2694" w:type="dxa"/>
          </w:tcPr>
          <w:p w14:paraId="012A8975" w14:textId="3FECEC0E" w:rsidR="005E464C" w:rsidRPr="007A4846" w:rsidRDefault="00E45912" w:rsidP="00E45912">
            <w:pPr>
              <w:pStyle w:val="TableTex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45912">
              <w:rPr>
                <w:b/>
                <w:bCs/>
              </w:rPr>
              <w:lastRenderedPageBreak/>
              <w:t>Usuarios</w:t>
            </w:r>
            <w:proofErr w:type="spellEnd"/>
            <w:r w:rsidRPr="00E45912">
              <w:rPr>
                <w:b/>
                <w:bCs/>
              </w:rPr>
              <w:t xml:space="preserve"> finales y </w:t>
            </w:r>
            <w:proofErr w:type="spellStart"/>
            <w:r w:rsidRPr="00E45912">
              <w:rPr>
                <w:b/>
                <w:bCs/>
              </w:rPr>
              <w:t>terceros</w:t>
            </w:r>
            <w:proofErr w:type="spellEnd"/>
          </w:p>
        </w:tc>
        <w:tc>
          <w:tcPr>
            <w:tcW w:w="6520" w:type="dxa"/>
          </w:tcPr>
          <w:p w14:paraId="2EF4576E" w14:textId="77777777" w:rsidR="008F72CE" w:rsidRPr="00EB3889" w:rsidRDefault="00EB3889" w:rsidP="00EB3889">
            <w:pPr>
              <w:pStyle w:val="Table-bullet"/>
              <w:rPr>
                <w:lang w:val="es-ES"/>
              </w:rPr>
            </w:pPr>
            <w:r w:rsidRPr="00EB3889">
              <w:rPr>
                <w:lang w:val="es-ES"/>
              </w:rPr>
              <w:t>Manipular y gestionar de forma segura los activos de TI de la empresa de conformidad con la política.</w:t>
            </w:r>
          </w:p>
          <w:p w14:paraId="538FBD43" w14:textId="77777777" w:rsidR="008F72CE" w:rsidRPr="00934460" w:rsidRDefault="00934460" w:rsidP="00934460">
            <w:pPr>
              <w:pStyle w:val="Table-bullet"/>
              <w:rPr>
                <w:lang w:val="es-ES"/>
              </w:rPr>
            </w:pPr>
            <w:r w:rsidRPr="00934460">
              <w:rPr>
                <w:lang w:val="es-ES"/>
              </w:rPr>
              <w:t>Cumplir las prácticas y directrices de seguridad para evitar el acceso no autorizado o el uso indebido de los activos de TI.</w:t>
            </w:r>
          </w:p>
          <w:p w14:paraId="7D5BEBC3" w14:textId="77777777" w:rsidR="008F72CE" w:rsidRPr="00F71BF4" w:rsidRDefault="00F71BF4" w:rsidP="00F71BF4">
            <w:pPr>
              <w:pStyle w:val="Table-bullet"/>
              <w:rPr>
                <w:lang w:val="es-ES"/>
              </w:rPr>
            </w:pPr>
            <w:r w:rsidRPr="00F71BF4">
              <w:rPr>
                <w:lang w:val="es-ES"/>
              </w:rPr>
              <w:t>Notificar de forma inmediata cualquier incidente de pérdida o daño de activos, o cualquier incidente de seguridad.</w:t>
            </w:r>
          </w:p>
          <w:p w14:paraId="73BAEE77" w14:textId="1B5499DB" w:rsidR="005E464C" w:rsidRPr="004A0965" w:rsidRDefault="004A0965" w:rsidP="004A0965">
            <w:pPr>
              <w:pStyle w:val="Table-bullet"/>
              <w:rPr>
                <w:lang w:val="es-ES"/>
              </w:rPr>
            </w:pPr>
            <w:r w:rsidRPr="004A0965">
              <w:rPr>
                <w:lang w:val="es-ES"/>
              </w:rPr>
              <w:t>Garantizar la devolución adecuada de los activos de TI al finalizar su uso o la relación laboral.</w:t>
            </w:r>
          </w:p>
        </w:tc>
      </w:tr>
    </w:tbl>
    <w:p w14:paraId="78DA24F8" w14:textId="77777777" w:rsidR="005E464C" w:rsidRPr="004A0965" w:rsidRDefault="005E464C" w:rsidP="005E464C">
      <w:pPr>
        <w:rPr>
          <w:lang w:val="es-ES"/>
        </w:rPr>
      </w:pPr>
    </w:p>
    <w:p w14:paraId="60D819DA" w14:textId="68CC8BFD" w:rsidR="008F72CE" w:rsidRPr="009458A0" w:rsidRDefault="000B1127" w:rsidP="00FB4313">
      <w:pPr>
        <w:pStyle w:val="Heading1"/>
        <w:numPr>
          <w:ilvl w:val="0"/>
          <w:numId w:val="0"/>
        </w:numPr>
        <w:rPr>
          <w:lang w:val="es-ES"/>
        </w:rPr>
      </w:pPr>
      <w:bookmarkStart w:id="5" w:name="_Toc237867805"/>
      <w:r w:rsidRPr="009458A0">
        <w:rPr>
          <w:lang w:val="es-ES"/>
        </w:rPr>
        <w:t>Estructura del inventario de activos</w:t>
      </w:r>
      <w:bookmarkEnd w:id="5"/>
      <w:r w:rsidRPr="009458A0">
        <w:rPr>
          <w:lang w:val="es-ES"/>
        </w:rPr>
        <w:t xml:space="preserve"> </w:t>
      </w:r>
    </w:p>
    <w:p w14:paraId="27833831" w14:textId="77777777" w:rsidR="008F72CE" w:rsidRPr="001628A0" w:rsidRDefault="006A7C0A" w:rsidP="00343B37">
      <w:r w:rsidRPr="006A7C0A">
        <w:rPr>
          <w:lang w:val="es-ES"/>
        </w:rPr>
        <w:t>El inventario de activos de TI de [</w:t>
      </w:r>
      <w:r w:rsidRPr="006A7C0A">
        <w:rPr>
          <w:shd w:val="clear" w:color="auto" w:fill="FFFF00"/>
          <w:lang w:val="es-ES"/>
        </w:rPr>
        <w:t>NOMBRE DE LA EMPRESA</w:t>
      </w:r>
      <w:r w:rsidRPr="006A7C0A">
        <w:rPr>
          <w:lang w:val="es-ES"/>
        </w:rPr>
        <w:t xml:space="preserve">] es un registro organizado de todos los activos gestionados, diseñado para facilitar el acceso y la recuperación eficiente de la información. </w:t>
      </w:r>
      <w:r w:rsidRPr="006A7C0A">
        <w:t xml:space="preserve">El </w:t>
      </w:r>
      <w:proofErr w:type="spellStart"/>
      <w:r w:rsidRPr="006A7C0A">
        <w:t>inventario</w:t>
      </w:r>
      <w:proofErr w:type="spellEnd"/>
      <w:r w:rsidRPr="006A7C0A">
        <w:t xml:space="preserve"> </w:t>
      </w:r>
      <w:proofErr w:type="spellStart"/>
      <w:r w:rsidRPr="006A7C0A">
        <w:t>deberá</w:t>
      </w:r>
      <w:proofErr w:type="spellEnd"/>
      <w:r w:rsidRPr="006A7C0A">
        <w:t xml:space="preserve"> </w:t>
      </w:r>
      <w:proofErr w:type="spellStart"/>
      <w:r w:rsidRPr="006A7C0A">
        <w:t>estructurarse</w:t>
      </w:r>
      <w:proofErr w:type="spellEnd"/>
      <w:r w:rsidRPr="006A7C0A">
        <w:t xml:space="preserve"> con </w:t>
      </w:r>
      <w:proofErr w:type="spellStart"/>
      <w:r w:rsidRPr="006A7C0A">
        <w:t>los</w:t>
      </w:r>
      <w:proofErr w:type="spellEnd"/>
      <w:r w:rsidRPr="006A7C0A">
        <w:t xml:space="preserve"> </w:t>
      </w:r>
      <w:proofErr w:type="spellStart"/>
      <w:r w:rsidRPr="006A7C0A">
        <w:t>siguientes</w:t>
      </w:r>
      <w:proofErr w:type="spellEnd"/>
      <w:r w:rsidRPr="006A7C0A">
        <w:t xml:space="preserve"> </w:t>
      </w:r>
      <w:proofErr w:type="spellStart"/>
      <w:r w:rsidRPr="006A7C0A">
        <w:t>datos</w:t>
      </w:r>
      <w:proofErr w:type="spellEnd"/>
      <w:r w:rsidRPr="006A7C0A">
        <w:t>:</w:t>
      </w:r>
    </w:p>
    <w:p w14:paraId="687765FB" w14:textId="77777777" w:rsidR="008F72CE" w:rsidRPr="00B37874" w:rsidRDefault="00B37874" w:rsidP="00B37874">
      <w:pPr>
        <w:pStyle w:val="ListBullet"/>
        <w:rPr>
          <w:lang w:val="es-ES"/>
        </w:rPr>
      </w:pPr>
      <w:r w:rsidRPr="00B37874">
        <w:rPr>
          <w:b/>
          <w:bCs/>
          <w:lang w:val="es-ES"/>
        </w:rPr>
        <w:t>Hardware:</w:t>
      </w:r>
      <w:r w:rsidRPr="00B37874">
        <w:rPr>
          <w:lang w:val="es-ES"/>
        </w:rPr>
        <w:t xml:space="preserve"> ubicación del activo, tipo, identificador único, datos tratados, criticidad, función de negocio y propietario. Esta información deberá incluirse en el alta del activo, y cualquier cambio en la titularidad del activo deberá reflejarse inmediatamente en el inventario de activos.</w:t>
      </w:r>
    </w:p>
    <w:p w14:paraId="5D79E9EE" w14:textId="77777777" w:rsidR="004E6EAE" w:rsidRPr="00B37874" w:rsidRDefault="004E6EAE" w:rsidP="004E6EAE">
      <w:pPr>
        <w:pStyle w:val="ListBullet"/>
        <w:numPr>
          <w:ilvl w:val="0"/>
          <w:numId w:val="0"/>
        </w:numPr>
        <w:ind w:left="340"/>
        <w:rPr>
          <w:lang w:val="es-ES"/>
        </w:rPr>
      </w:pPr>
    </w:p>
    <w:p w14:paraId="7F7D610A" w14:textId="77777777" w:rsidR="008F72CE" w:rsidRPr="001633DD" w:rsidRDefault="001633DD" w:rsidP="001633DD">
      <w:pPr>
        <w:pStyle w:val="ListBullet"/>
        <w:rPr>
          <w:lang w:val="es-ES"/>
        </w:rPr>
      </w:pPr>
      <w:r w:rsidRPr="001633DD">
        <w:rPr>
          <w:b/>
          <w:bCs/>
          <w:lang w:val="es-ES"/>
        </w:rPr>
        <w:t>Software:</w:t>
      </w:r>
      <w:r w:rsidRPr="001633DD">
        <w:rPr>
          <w:lang w:val="es-ES"/>
        </w:rPr>
        <w:t xml:space="preserve"> nombre, versión, proveedor, datos tratados, criticidad, función de negocio, propietario, estado de los parches, fabricante, fecha de instalación, fecha de caducidad y fecha de fin de soporte. Esta información deberá incluirse en el alta del activo, y cualquier cambio en la titularidad del activo deberá reflejarse inmediatamente en el inventario de activos.</w:t>
      </w:r>
    </w:p>
    <w:p w14:paraId="363A7EC3" w14:textId="77777777" w:rsidR="00506BBB" w:rsidRPr="001633DD" w:rsidRDefault="00506BBB" w:rsidP="00506BBB">
      <w:pPr>
        <w:pStyle w:val="ListBullet"/>
        <w:numPr>
          <w:ilvl w:val="0"/>
          <w:numId w:val="0"/>
        </w:numPr>
        <w:rPr>
          <w:lang w:val="es-ES"/>
        </w:rPr>
      </w:pPr>
    </w:p>
    <w:p w14:paraId="5EF8794A" w14:textId="77777777" w:rsidR="008F72CE" w:rsidRPr="009719FB" w:rsidRDefault="009719FB" w:rsidP="009719FB">
      <w:pPr>
        <w:pStyle w:val="ListBullet"/>
        <w:rPr>
          <w:lang w:val="es-ES"/>
        </w:rPr>
      </w:pPr>
      <w:r w:rsidRPr="009719FB">
        <w:rPr>
          <w:b/>
          <w:bCs/>
          <w:lang w:val="es-ES"/>
        </w:rPr>
        <w:t>Activos de terceros/proveedores:</w:t>
      </w:r>
      <w:r w:rsidRPr="009719FB">
        <w:rPr>
          <w:lang w:val="es-ES"/>
        </w:rPr>
        <w:t xml:space="preserve"> los activos de TI no gestionados deberán registrarse y, cuando sea viable, segmentarse por separado de los recursos corporativos. El [</w:t>
      </w:r>
      <w:r w:rsidRPr="009719FB">
        <w:rPr>
          <w:shd w:val="clear" w:color="auto" w:fill="FFFF00"/>
          <w:lang w:val="es-ES"/>
        </w:rPr>
        <w:t>EQUIPO/DEPARTAMENTO CORRESPONDIENTE</w:t>
      </w:r>
      <w:r w:rsidRPr="009719FB">
        <w:rPr>
          <w:lang w:val="es-ES"/>
        </w:rPr>
        <w:t>] deberá colaborar con los propietarios de los activos para garantizar la aplicación oportuna de parches y correcciones, reduciendo el riesgo organizativo y manteniendo el cumplimiento de los estándares de seguridad.</w:t>
      </w:r>
    </w:p>
    <w:p w14:paraId="7F1E0F07" w14:textId="4D9942E3" w:rsidR="008F72CE" w:rsidRPr="001628A0" w:rsidRDefault="00292490" w:rsidP="00FB4313">
      <w:pPr>
        <w:pStyle w:val="Heading2"/>
        <w:numPr>
          <w:ilvl w:val="0"/>
          <w:numId w:val="0"/>
        </w:numPr>
      </w:pPr>
      <w:bookmarkStart w:id="6" w:name="_Toc237867806"/>
      <w:proofErr w:type="spellStart"/>
      <w:r w:rsidRPr="00292490">
        <w:t>Clasificación</w:t>
      </w:r>
      <w:proofErr w:type="spellEnd"/>
      <w:r w:rsidRPr="00292490">
        <w:t xml:space="preserve"> de </w:t>
      </w:r>
      <w:proofErr w:type="spellStart"/>
      <w:r w:rsidRPr="00292490">
        <w:t>activos</w:t>
      </w:r>
      <w:bookmarkEnd w:id="6"/>
      <w:proofErr w:type="spellEnd"/>
      <w:r w:rsidRPr="00292490">
        <w:t xml:space="preserve"> </w:t>
      </w:r>
    </w:p>
    <w:p w14:paraId="7CD660DD" w14:textId="77777777" w:rsidR="008F72CE" w:rsidRPr="00C532D9" w:rsidRDefault="00C532D9" w:rsidP="00AD007A">
      <w:pPr>
        <w:rPr>
          <w:lang w:val="es-ES"/>
        </w:rPr>
      </w:pPr>
      <w:r w:rsidRPr="00C532D9">
        <w:rPr>
          <w:lang w:val="es-ES"/>
        </w:rPr>
        <w:t>Cada activo incluido en el inventario deberá categorizarse en función de su criticidad, teniendo en cuenta diversos criterios de clasificación, incluidos, entre otros:</w:t>
      </w:r>
    </w:p>
    <w:p w14:paraId="37C265B8" w14:textId="77777777" w:rsidR="008F72CE" w:rsidRPr="00EC61C9" w:rsidRDefault="00EC61C9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EC61C9">
        <w:rPr>
          <w:b/>
          <w:bCs/>
          <w:lang w:val="es-ES"/>
        </w:rPr>
        <w:t>Nivel de confidencialidad</w:t>
      </w:r>
      <w:r w:rsidRPr="00EC61C9">
        <w:rPr>
          <w:lang w:val="es-ES"/>
        </w:rPr>
        <w:t>: el grado de sensibilidad asociado a la información que contiene el activo, alineado con la Política de clasificación de datos.</w:t>
      </w:r>
    </w:p>
    <w:p w14:paraId="7BF775C0" w14:textId="77777777" w:rsidR="008F72CE" w:rsidRPr="00D62D12" w:rsidRDefault="00D62D12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D62D12">
        <w:rPr>
          <w:b/>
          <w:bCs/>
          <w:lang w:val="es-ES"/>
        </w:rPr>
        <w:t>Nivel de integridad</w:t>
      </w:r>
      <w:r w:rsidRPr="00D62D12">
        <w:rPr>
          <w:lang w:val="es-ES"/>
        </w:rPr>
        <w:t>: la importancia de mantener la exactitud y fiabilidad del activo.</w:t>
      </w:r>
    </w:p>
    <w:p w14:paraId="6DE5F29C" w14:textId="77777777" w:rsidR="008F72CE" w:rsidRPr="00DE7752" w:rsidRDefault="00DE7752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DE7752">
        <w:rPr>
          <w:b/>
          <w:bCs/>
          <w:lang w:val="es-ES"/>
        </w:rPr>
        <w:t>Nivel de disponibilidad</w:t>
      </w:r>
      <w:r w:rsidRPr="00DE7752">
        <w:rPr>
          <w:lang w:val="es-ES"/>
        </w:rPr>
        <w:t>: la necesidad de que el activo esté accesible cuando sea necesario.</w:t>
      </w:r>
    </w:p>
    <w:p w14:paraId="09F2FFF9" w14:textId="77777777" w:rsidR="008F72CE" w:rsidRPr="00206C94" w:rsidRDefault="00206C94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206C94">
        <w:rPr>
          <w:b/>
          <w:bCs/>
          <w:lang w:val="es-ES"/>
        </w:rPr>
        <w:t>Presencia de información personal identificable (PII):</w:t>
      </w:r>
      <w:r w:rsidRPr="00206C94">
        <w:rPr>
          <w:lang w:val="es-ES"/>
        </w:rPr>
        <w:t xml:space="preserve"> si el activo contiene PII, lo que requiere medidas adicionales de cumplimiento y protección.</w:t>
      </w:r>
    </w:p>
    <w:p w14:paraId="0C6B3252" w14:textId="77777777" w:rsidR="008F72CE" w:rsidRPr="00F068EB" w:rsidRDefault="00F068EB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F068EB">
        <w:rPr>
          <w:b/>
          <w:bCs/>
          <w:lang w:val="es-ES"/>
        </w:rPr>
        <w:t>Impacto operativo:</w:t>
      </w:r>
      <w:r w:rsidRPr="00F068EB">
        <w:rPr>
          <w:lang w:val="es-ES"/>
        </w:rPr>
        <w:t xml:space="preserve"> el efecto sobre las operaciones de negocio si el activo se ve comprometido, no está disponible o se deteriora.</w:t>
      </w:r>
    </w:p>
    <w:p w14:paraId="1A375579" w14:textId="77777777" w:rsidR="008F72CE" w:rsidRPr="00574ED2" w:rsidRDefault="00574ED2" w:rsidP="003E67D5">
      <w:pPr>
        <w:pStyle w:val="ListBullet"/>
        <w:numPr>
          <w:ilvl w:val="1"/>
          <w:numId w:val="22"/>
        </w:numPr>
        <w:rPr>
          <w:lang w:val="es-ES"/>
        </w:rPr>
      </w:pPr>
      <w:r w:rsidRPr="00574ED2">
        <w:rPr>
          <w:b/>
          <w:bCs/>
          <w:lang w:val="es-ES"/>
        </w:rPr>
        <w:lastRenderedPageBreak/>
        <w:t>Requisitos de cumplimiento</w:t>
      </w:r>
      <w:r w:rsidRPr="00574ED2">
        <w:rPr>
          <w:lang w:val="es-ES"/>
        </w:rPr>
        <w:t>: estándares legales, regulatorios y sectoriales aplicables al activo, garantizando el cumplimiento de las obligaciones necesarias.</w:t>
      </w:r>
    </w:p>
    <w:p w14:paraId="028652D0" w14:textId="77777777" w:rsidR="00D103F5" w:rsidRPr="00574ED2" w:rsidRDefault="00D103F5" w:rsidP="00D103F5">
      <w:pPr>
        <w:pStyle w:val="ListBullet"/>
        <w:numPr>
          <w:ilvl w:val="0"/>
          <w:numId w:val="0"/>
        </w:numPr>
        <w:ind w:left="340"/>
        <w:rPr>
          <w:lang w:val="es-ES"/>
        </w:rPr>
      </w:pPr>
    </w:p>
    <w:p w14:paraId="1E9E8BAB" w14:textId="77777777" w:rsidR="008F72CE" w:rsidRPr="00564534" w:rsidRDefault="00564534" w:rsidP="00564534">
      <w:pPr>
        <w:pStyle w:val="ListBullet"/>
        <w:rPr>
          <w:lang w:val="es-ES"/>
        </w:rPr>
      </w:pPr>
      <w:r w:rsidRPr="00564534">
        <w:rPr>
          <w:lang w:val="es-ES"/>
        </w:rPr>
        <w:t>El inventario de activos y su puntuación de clasificación deberán someterse a una revisión exhaustiva con los propietarios de los activos al menos una vez al año para mantener su exactitud y relevancia. Podrán realizarse revisiones adicionales cuando se produzcan cambios significativos en las operaciones de la organización, avances tecnológicos o en respuesta a incidentes de seguridad.</w:t>
      </w:r>
    </w:p>
    <w:p w14:paraId="63AF5DFC" w14:textId="77777777" w:rsidR="000F0DE4" w:rsidRPr="00564534" w:rsidRDefault="000F0DE4" w:rsidP="000F0DE4">
      <w:pPr>
        <w:pStyle w:val="ListBullet"/>
        <w:numPr>
          <w:ilvl w:val="0"/>
          <w:numId w:val="0"/>
        </w:numPr>
        <w:ind w:left="340"/>
        <w:rPr>
          <w:lang w:val="es-ES"/>
        </w:rPr>
      </w:pPr>
    </w:p>
    <w:p w14:paraId="09F4D90D" w14:textId="77777777" w:rsidR="008F72CE" w:rsidRPr="0037464A" w:rsidRDefault="0037464A" w:rsidP="0037464A">
      <w:pPr>
        <w:pStyle w:val="ListBullet"/>
        <w:rPr>
          <w:lang w:val="es-ES"/>
        </w:rPr>
      </w:pPr>
      <w:r w:rsidRPr="0037464A">
        <w:rPr>
          <w:lang w:val="es-ES"/>
        </w:rPr>
        <w:t xml:space="preserve">Los </w:t>
      </w:r>
      <w:r w:rsidRPr="0037464A">
        <w:rPr>
          <w:shd w:val="clear" w:color="auto" w:fill="FFFF00"/>
          <w:lang w:val="es-ES"/>
        </w:rPr>
        <w:t>propietarios de activos y las partes interesadas pertinentes</w:t>
      </w:r>
      <w:r w:rsidRPr="0037464A">
        <w:rPr>
          <w:lang w:val="es-ES"/>
        </w:rPr>
        <w:t xml:space="preserve"> son responsables del mantenimiento continuo y de la actualización oportuna de la información de los activos. Es esencial que colaboren para garantizar que el inventario de activos refleje el estado actual de todos los activos de la organización.</w:t>
      </w:r>
    </w:p>
    <w:p w14:paraId="19E12951" w14:textId="77777777" w:rsidR="000F0DE4" w:rsidRPr="0037464A" w:rsidRDefault="000F0DE4" w:rsidP="000F0DE4">
      <w:pPr>
        <w:pStyle w:val="ListBullet"/>
        <w:numPr>
          <w:ilvl w:val="0"/>
          <w:numId w:val="0"/>
        </w:numPr>
        <w:ind w:left="340"/>
        <w:rPr>
          <w:lang w:val="es-ES"/>
        </w:rPr>
      </w:pPr>
    </w:p>
    <w:p w14:paraId="53B04379" w14:textId="77777777" w:rsidR="008F72CE" w:rsidRPr="009458A0" w:rsidRDefault="009458A0" w:rsidP="009458A0">
      <w:pPr>
        <w:pStyle w:val="ListBullet"/>
        <w:rPr>
          <w:lang w:val="es-ES"/>
        </w:rPr>
      </w:pPr>
      <w:r w:rsidRPr="009458A0">
        <w:rPr>
          <w:lang w:val="es-ES"/>
        </w:rPr>
        <w:t>El marco de clasificación de activos deberá integrarse con otras políticas de seguridad de la información y gestión de riesgos para garantizar la coherencia de las operaciones.</w:t>
      </w:r>
    </w:p>
    <w:p w14:paraId="49E9DC8E" w14:textId="7906DAF0" w:rsidR="008F72CE" w:rsidRPr="00D04C12" w:rsidRDefault="00D04C12" w:rsidP="00FB4313">
      <w:pPr>
        <w:pStyle w:val="Heading1"/>
        <w:numPr>
          <w:ilvl w:val="0"/>
          <w:numId w:val="0"/>
        </w:numPr>
        <w:rPr>
          <w:lang w:val="es-ES"/>
        </w:rPr>
      </w:pPr>
      <w:bookmarkStart w:id="7" w:name="_Toc237867807"/>
      <w:r w:rsidRPr="00D04C12">
        <w:rPr>
          <w:lang w:val="es-ES"/>
        </w:rPr>
        <w:t>Gestión del ciclo de vida de los activos</w:t>
      </w:r>
      <w:bookmarkEnd w:id="7"/>
      <w:r w:rsidRPr="00D04C12">
        <w:rPr>
          <w:lang w:val="es-ES"/>
        </w:rPr>
        <w:t xml:space="preserve"> </w:t>
      </w:r>
    </w:p>
    <w:p w14:paraId="077352D8" w14:textId="77777777" w:rsidR="008F72CE" w:rsidRPr="00A71F51" w:rsidRDefault="00A71F51" w:rsidP="0089773A">
      <w:pPr>
        <w:rPr>
          <w:lang w:val="es-ES"/>
        </w:rPr>
      </w:pPr>
      <w:r w:rsidRPr="00A71F51">
        <w:rPr>
          <w:lang w:val="es-ES"/>
        </w:rPr>
        <w:t xml:space="preserve">La gestión del ciclo de vida de los activos respalda la supervisión estratégica de los activos desde su adquisición hasta su uso activo, mantenimiento y eventual eliminación. Este enfoque garantiza la utilización, rentabilidad y seguridad de los activos de TI de </w:t>
      </w:r>
      <w:r w:rsidRPr="00A71F51">
        <w:rPr>
          <w:shd w:val="clear" w:color="auto" w:fill="FFFF00"/>
          <w:lang w:val="es-ES"/>
        </w:rPr>
        <w:t>[NOMBRE DE LA EMPRESA]</w:t>
      </w:r>
      <w:r w:rsidRPr="00A71F51">
        <w:rPr>
          <w:lang w:val="es-ES"/>
        </w:rPr>
        <w:t xml:space="preserve"> durante todo su ciclo de vida.</w:t>
      </w:r>
    </w:p>
    <w:p w14:paraId="40885F20" w14:textId="77777777" w:rsidR="008F72CE" w:rsidRPr="001628A0" w:rsidRDefault="000A391C">
      <w:pPr>
        <w:pStyle w:val="Heading4-Unnumbered"/>
      </w:pPr>
      <w:proofErr w:type="spellStart"/>
      <w:r w:rsidRPr="000A391C">
        <w:t>Adquisición</w:t>
      </w:r>
      <w:proofErr w:type="spellEnd"/>
      <w:r w:rsidRPr="000A391C">
        <w:t xml:space="preserve"> </w:t>
      </w:r>
    </w:p>
    <w:p w14:paraId="58BDD43F" w14:textId="77777777" w:rsidR="008F72CE" w:rsidRPr="008A0F9D" w:rsidRDefault="008A0F9D" w:rsidP="008A0F9D">
      <w:pPr>
        <w:pStyle w:val="ListBullet"/>
        <w:rPr>
          <w:lang w:val="es-ES"/>
        </w:rPr>
      </w:pPr>
      <w:r w:rsidRPr="008A0F9D">
        <w:rPr>
          <w:lang w:val="es-ES"/>
        </w:rPr>
        <w:t>Todos los activos de TI deberán adquirirse a través del proceso de compras aprobado de [</w:t>
      </w:r>
      <w:r w:rsidRPr="008A0F9D">
        <w:rPr>
          <w:shd w:val="clear" w:color="auto" w:fill="FFFF00"/>
          <w:lang w:val="es-ES"/>
        </w:rPr>
        <w:t>NOMBRE DE LA EMPRESA]</w:t>
      </w:r>
      <w:r w:rsidRPr="008A0F9D">
        <w:rPr>
          <w:lang w:val="es-ES"/>
        </w:rPr>
        <w:t xml:space="preserve"> antes de registrarse en el inventario de activos de TI para permitir un seguimiento eficaz.</w:t>
      </w:r>
    </w:p>
    <w:p w14:paraId="77948746" w14:textId="77777777" w:rsidR="008F72CE" w:rsidRPr="00796C97" w:rsidRDefault="00796C97" w:rsidP="00796C97">
      <w:pPr>
        <w:pStyle w:val="ListBullet"/>
        <w:rPr>
          <w:lang w:val="es-ES"/>
        </w:rPr>
      </w:pPr>
      <w:r w:rsidRPr="00796C97">
        <w:rPr>
          <w:lang w:val="es-ES"/>
        </w:rPr>
        <w:t>Todos los activos de TI deberán verificarse y mantenerse de conformidad con los acuerdos de licencia aplicables.</w:t>
      </w:r>
    </w:p>
    <w:p w14:paraId="251910C6" w14:textId="77777777" w:rsidR="008F72CE" w:rsidRPr="001B2ED4" w:rsidRDefault="001B2ED4" w:rsidP="001B2ED4">
      <w:pPr>
        <w:pStyle w:val="ListBullet"/>
        <w:rPr>
          <w:lang w:val="es-ES"/>
        </w:rPr>
      </w:pPr>
      <w:r w:rsidRPr="001B2ED4">
        <w:rPr>
          <w:lang w:val="es-ES"/>
        </w:rPr>
        <w:t>Todos los activos de TI deberán clasificarse en función de su sensibilidad y valor de conformidad con los [</w:t>
      </w:r>
      <w:r w:rsidRPr="001B2ED4">
        <w:rPr>
          <w:shd w:val="clear" w:color="auto" w:fill="FFFF00"/>
          <w:lang w:val="es-ES"/>
        </w:rPr>
        <w:t>ESTÁNDARES/PROCEDIMIENTOS</w:t>
      </w:r>
      <w:r w:rsidRPr="001B2ED4">
        <w:rPr>
          <w:lang w:val="es-ES"/>
        </w:rPr>
        <w:t>] de [</w:t>
      </w:r>
      <w:r w:rsidRPr="001B2ED4">
        <w:rPr>
          <w:shd w:val="clear" w:color="auto" w:fill="FFFF00"/>
          <w:lang w:val="es-ES"/>
        </w:rPr>
        <w:t>NOMBRE DE LA EMPRESA</w:t>
      </w:r>
      <w:r w:rsidRPr="001B2ED4">
        <w:rPr>
          <w:lang w:val="es-ES"/>
        </w:rPr>
        <w:t>].</w:t>
      </w:r>
    </w:p>
    <w:p w14:paraId="2FF7F136" w14:textId="77777777" w:rsidR="008F72CE" w:rsidRPr="00BA57AF" w:rsidRDefault="00BA57AF" w:rsidP="00BA57AF">
      <w:pPr>
        <w:pStyle w:val="ListBullet"/>
        <w:rPr>
          <w:lang w:val="es-ES"/>
        </w:rPr>
      </w:pPr>
      <w:r w:rsidRPr="00BA57AF">
        <w:rPr>
          <w:lang w:val="es-ES"/>
        </w:rPr>
        <w:t>Deberán establecerse contratos y acuerdos claros con proveedores externos para definir las condiciones, garantías y expectativas de servicio, incluidos los acuerdos de nivel de servicio (SLA) cuando proceda.</w:t>
      </w:r>
    </w:p>
    <w:p w14:paraId="0B1D9868" w14:textId="77777777" w:rsidR="008F72CE" w:rsidRPr="0069428F" w:rsidRDefault="0069428F" w:rsidP="0069428F">
      <w:pPr>
        <w:pStyle w:val="ListBullet"/>
        <w:rPr>
          <w:lang w:val="es-ES"/>
        </w:rPr>
      </w:pPr>
      <w:r w:rsidRPr="0069428F">
        <w:rPr>
          <w:lang w:val="es-ES"/>
        </w:rPr>
        <w:t xml:space="preserve">El </w:t>
      </w:r>
      <w:r w:rsidRPr="0069428F">
        <w:rPr>
          <w:shd w:val="clear" w:color="auto" w:fill="FFFF00"/>
          <w:lang w:val="es-ES"/>
        </w:rPr>
        <w:t>[EQUIPO/DEPARTAMENTO CORRESPONDIENTE]</w:t>
      </w:r>
      <w:r w:rsidRPr="0069428F">
        <w:rPr>
          <w:lang w:val="es-ES"/>
        </w:rPr>
        <w:t xml:space="preserve"> deberá realizar evaluaciones de riesgos para valorar posibles vulnerabilidades o riesgos de la cadena de suministro asociados a nuevas adquisiciones.</w:t>
      </w:r>
    </w:p>
    <w:p w14:paraId="675AB505" w14:textId="77777777" w:rsidR="008F72CE" w:rsidRPr="00213267" w:rsidRDefault="00213267" w:rsidP="00213267">
      <w:pPr>
        <w:pStyle w:val="ListBullet"/>
        <w:rPr>
          <w:lang w:val="es-ES"/>
        </w:rPr>
      </w:pPr>
      <w:r w:rsidRPr="00213267">
        <w:rPr>
          <w:lang w:val="es-ES"/>
        </w:rPr>
        <w:t>Deberán realizarse análisis de mercado para aprovechar eficiencias de coste y promover prácticas de compra sostenibles.</w:t>
      </w:r>
    </w:p>
    <w:p w14:paraId="52B5BCC2" w14:textId="77777777" w:rsidR="008F72CE" w:rsidRPr="001628A0" w:rsidRDefault="008B673D">
      <w:pPr>
        <w:pStyle w:val="Heading4-Unnumbered"/>
      </w:pPr>
      <w:proofErr w:type="spellStart"/>
      <w:r w:rsidRPr="008B673D">
        <w:t>Despliegue</w:t>
      </w:r>
      <w:proofErr w:type="spellEnd"/>
      <w:r w:rsidRPr="008B673D">
        <w:t xml:space="preserve"> </w:t>
      </w:r>
    </w:p>
    <w:p w14:paraId="20E40709" w14:textId="77777777" w:rsidR="008F72CE" w:rsidRPr="001B6A27" w:rsidRDefault="001B6A27" w:rsidP="001B6A27">
      <w:pPr>
        <w:pStyle w:val="ListBullet"/>
        <w:rPr>
          <w:lang w:val="es-ES"/>
        </w:rPr>
      </w:pPr>
      <w:r w:rsidRPr="001B6A27">
        <w:rPr>
          <w:lang w:val="es-ES"/>
        </w:rPr>
        <w:t xml:space="preserve">Todos los activos de TI deberán desplegarse de conformidad con el proceso de gestión de cambios de </w:t>
      </w:r>
      <w:r w:rsidRPr="001B6A27">
        <w:rPr>
          <w:shd w:val="clear" w:color="auto" w:fill="FFFF00"/>
          <w:lang w:val="es-ES"/>
        </w:rPr>
        <w:t>[NOMBRE DE LA EMPRESA]</w:t>
      </w:r>
      <w:r w:rsidRPr="001B6A27">
        <w:rPr>
          <w:lang w:val="es-ES"/>
        </w:rPr>
        <w:t xml:space="preserve"> para mitigar interrupciones.</w:t>
      </w:r>
    </w:p>
    <w:p w14:paraId="794A83AD" w14:textId="77777777" w:rsidR="008F72CE" w:rsidRPr="00004DD6" w:rsidRDefault="00004DD6" w:rsidP="00004DD6">
      <w:pPr>
        <w:pStyle w:val="ListBullet"/>
        <w:rPr>
          <w:lang w:val="es-ES"/>
        </w:rPr>
      </w:pPr>
      <w:r w:rsidRPr="00004DD6">
        <w:rPr>
          <w:lang w:val="es-ES"/>
        </w:rPr>
        <w:t xml:space="preserve">Todos los activos de TI deberán ser probados y aprobados por el </w:t>
      </w:r>
      <w:r w:rsidRPr="00004DD6">
        <w:rPr>
          <w:shd w:val="clear" w:color="auto" w:fill="FFFF00"/>
          <w:lang w:val="es-ES"/>
        </w:rPr>
        <w:t>comité de gestión de cambios</w:t>
      </w:r>
      <w:r w:rsidRPr="00004DD6">
        <w:rPr>
          <w:lang w:val="es-ES"/>
        </w:rPr>
        <w:t xml:space="preserve"> de </w:t>
      </w:r>
      <w:r w:rsidRPr="00004DD6">
        <w:rPr>
          <w:shd w:val="clear" w:color="auto" w:fill="FFFF00"/>
          <w:lang w:val="es-ES"/>
        </w:rPr>
        <w:t>[NOMBRE DE LA EMPRESA]</w:t>
      </w:r>
      <w:r w:rsidRPr="00004DD6">
        <w:rPr>
          <w:lang w:val="es-ES"/>
        </w:rPr>
        <w:t xml:space="preserve"> antes de su despliegue.</w:t>
      </w:r>
    </w:p>
    <w:p w14:paraId="6F468304" w14:textId="77777777" w:rsidR="008F72CE" w:rsidRPr="00091939" w:rsidRDefault="00091939" w:rsidP="00091939">
      <w:pPr>
        <w:pStyle w:val="ListBullet"/>
        <w:rPr>
          <w:lang w:val="es-ES"/>
        </w:rPr>
      </w:pPr>
      <w:r w:rsidRPr="00091939">
        <w:rPr>
          <w:lang w:val="es-ES"/>
        </w:rPr>
        <w:t>Todos los activos de TI deberán instalarse utilizando los procedimientos de instalación adecuados del proveedor.</w:t>
      </w:r>
    </w:p>
    <w:p w14:paraId="272D8032" w14:textId="77777777" w:rsidR="008F72CE" w:rsidRPr="001628A0" w:rsidRDefault="00AD2141">
      <w:pPr>
        <w:pStyle w:val="Heading4-Unnumbered"/>
      </w:pPr>
      <w:r w:rsidRPr="00AD2141">
        <w:lastRenderedPageBreak/>
        <w:t xml:space="preserve">Uso y </w:t>
      </w:r>
      <w:proofErr w:type="spellStart"/>
      <w:r w:rsidRPr="00AD2141">
        <w:t>mantenimiento</w:t>
      </w:r>
      <w:proofErr w:type="spellEnd"/>
    </w:p>
    <w:p w14:paraId="6E857BCB" w14:textId="77777777" w:rsidR="008F72CE" w:rsidRPr="0075510C" w:rsidRDefault="0075510C" w:rsidP="0075510C">
      <w:pPr>
        <w:pStyle w:val="ListBullet"/>
        <w:rPr>
          <w:lang w:val="es-ES"/>
        </w:rPr>
      </w:pPr>
      <w:r w:rsidRPr="0075510C">
        <w:rPr>
          <w:lang w:val="es-ES"/>
        </w:rPr>
        <w:t>Todos los activos de TI deberán gestionarse de acuerdo con su clasificación, conforme al Estándar de clasificación de datos de [</w:t>
      </w:r>
      <w:r w:rsidRPr="0075510C">
        <w:rPr>
          <w:shd w:val="clear" w:color="auto" w:fill="FFFF00"/>
          <w:lang w:val="es-ES"/>
        </w:rPr>
        <w:t>NOMBRE DE LA EMPRESA</w:t>
      </w:r>
      <w:r w:rsidRPr="0075510C">
        <w:rPr>
          <w:lang w:val="es-ES"/>
        </w:rPr>
        <w:t>].</w:t>
      </w:r>
    </w:p>
    <w:p w14:paraId="124D8104" w14:textId="77777777" w:rsidR="008F72CE" w:rsidRPr="00E82954" w:rsidRDefault="00E82954" w:rsidP="00E82954">
      <w:pPr>
        <w:pStyle w:val="ListBullet"/>
        <w:rPr>
          <w:lang w:val="es-ES"/>
        </w:rPr>
      </w:pPr>
      <w:r w:rsidRPr="00E82954">
        <w:rPr>
          <w:lang w:val="es-ES"/>
        </w:rPr>
        <w:t xml:space="preserve">Todos los activos de TI deberán someterse a evaluaciones de riesgo </w:t>
      </w:r>
      <w:r w:rsidRPr="00E82954">
        <w:rPr>
          <w:shd w:val="clear" w:color="auto" w:fill="FFFF00"/>
          <w:lang w:val="es-ES"/>
        </w:rPr>
        <w:t xml:space="preserve">periódicamente </w:t>
      </w:r>
      <w:r w:rsidRPr="00E82954">
        <w:rPr>
          <w:lang w:val="es-ES"/>
        </w:rPr>
        <w:t xml:space="preserve">frente a vulnerabilidades y amenazas, y actualizarse con los últimos parches de seguridad, de conformidad con la </w:t>
      </w:r>
      <w:r w:rsidRPr="00E82954">
        <w:rPr>
          <w:shd w:val="clear" w:color="auto" w:fill="FFFF00"/>
          <w:lang w:val="es-ES"/>
        </w:rPr>
        <w:t>Política de gestión de vulnerabilidades y parches de [NOMBRE DE LA EMPRESA]</w:t>
      </w:r>
      <w:r w:rsidRPr="00E82954">
        <w:rPr>
          <w:lang w:val="es-ES"/>
        </w:rPr>
        <w:t>.</w:t>
      </w:r>
    </w:p>
    <w:p w14:paraId="32E6F5CF" w14:textId="77777777" w:rsidR="008F72CE" w:rsidRPr="00DD78C8" w:rsidRDefault="00DD78C8" w:rsidP="00DD78C8">
      <w:pPr>
        <w:pStyle w:val="ListBullet"/>
        <w:rPr>
          <w:lang w:val="es-ES"/>
        </w:rPr>
      </w:pPr>
      <w:r w:rsidRPr="00DD78C8">
        <w:rPr>
          <w:lang w:val="es-ES"/>
        </w:rPr>
        <w:t>Todos los activos de TI deberán monitorizarse y su rendimiento deberá documentarse a efectos de mantenimiento.</w:t>
      </w:r>
    </w:p>
    <w:p w14:paraId="168DEE34" w14:textId="77777777" w:rsidR="008F72CE" w:rsidRPr="00541B76" w:rsidRDefault="00541B76" w:rsidP="00541B76">
      <w:pPr>
        <w:pStyle w:val="ListBullet"/>
        <w:rPr>
          <w:lang w:val="es-ES"/>
        </w:rPr>
      </w:pPr>
      <w:r w:rsidRPr="00541B76">
        <w:rPr>
          <w:lang w:val="es-ES"/>
        </w:rPr>
        <w:t>Todos los activos de TI deberán contar con registros documentados de todas las actividades de mantenimiento, incluidas las fechas y las acciones realizadas.</w:t>
      </w:r>
    </w:p>
    <w:p w14:paraId="1E7B7D7D" w14:textId="77777777" w:rsidR="008F72CE" w:rsidRPr="00E87391" w:rsidRDefault="00E87391" w:rsidP="00E87391">
      <w:pPr>
        <w:pStyle w:val="ListBullet"/>
        <w:rPr>
          <w:lang w:val="es-ES"/>
        </w:rPr>
      </w:pPr>
      <w:r w:rsidRPr="00E87391">
        <w:rPr>
          <w:lang w:val="es-ES"/>
        </w:rPr>
        <w:t>Deberá existir un sistema de soporte establecido para que los usuarios notifiquen incidencias relacionadas con los activos y reciban asistencia oportuna.</w:t>
      </w:r>
    </w:p>
    <w:p w14:paraId="2B7D5E20" w14:textId="77777777" w:rsidR="008F72CE" w:rsidRPr="00104B6F" w:rsidRDefault="00104B6F" w:rsidP="00104B6F">
      <w:pPr>
        <w:pStyle w:val="ListBullet"/>
        <w:rPr>
          <w:lang w:val="es-ES"/>
        </w:rPr>
      </w:pPr>
      <w:r w:rsidRPr="00104B6F">
        <w:rPr>
          <w:lang w:val="es-ES"/>
        </w:rPr>
        <w:t xml:space="preserve">Todos los empleados y terceros de </w:t>
      </w:r>
      <w:r w:rsidRPr="00104B6F">
        <w:rPr>
          <w:shd w:val="clear" w:color="auto" w:fill="FFFF00"/>
          <w:lang w:val="es-ES"/>
        </w:rPr>
        <w:t>[NOMBRE DE LA EMPRESA]</w:t>
      </w:r>
      <w:r w:rsidRPr="00104B6F">
        <w:rPr>
          <w:lang w:val="es-ES"/>
        </w:rPr>
        <w:t xml:space="preserve"> deberán devolver los activos de la empresa cuando se produzca un cambio o finalización de la relación laboral o contractual.</w:t>
      </w:r>
    </w:p>
    <w:p w14:paraId="7CED8D33" w14:textId="77777777" w:rsidR="008F72CE" w:rsidRPr="001628A0" w:rsidRDefault="000738D2">
      <w:pPr>
        <w:pStyle w:val="Heading4-Unnumbered"/>
      </w:pPr>
      <w:proofErr w:type="spellStart"/>
      <w:r w:rsidRPr="000738D2">
        <w:t>Eliminación</w:t>
      </w:r>
      <w:proofErr w:type="spellEnd"/>
      <w:r w:rsidRPr="000738D2">
        <w:t xml:space="preserve"> </w:t>
      </w:r>
      <w:proofErr w:type="spellStart"/>
      <w:r w:rsidRPr="000738D2">
        <w:t>segura</w:t>
      </w:r>
      <w:proofErr w:type="spellEnd"/>
      <w:r w:rsidRPr="000738D2">
        <w:t xml:space="preserve"> </w:t>
      </w:r>
    </w:p>
    <w:p w14:paraId="6C3676A7" w14:textId="77777777" w:rsidR="008F72CE" w:rsidRPr="003C52B7" w:rsidRDefault="003C52B7" w:rsidP="003C52B7">
      <w:pPr>
        <w:pStyle w:val="ListBullet"/>
        <w:rPr>
          <w:lang w:val="es-ES"/>
        </w:rPr>
      </w:pPr>
      <w:r w:rsidRPr="003C52B7">
        <w:rPr>
          <w:shd w:val="clear" w:color="auto" w:fill="FFFF00"/>
          <w:lang w:val="es-ES"/>
        </w:rPr>
        <w:t>[NOMBRE DE LA EMPRESA]</w:t>
      </w:r>
      <w:r w:rsidRPr="003C52B7">
        <w:rPr>
          <w:lang w:val="es-ES"/>
        </w:rPr>
        <w:t xml:space="preserve"> deberá mantener principios relativos a la eliminación segura de los activos de TI para evitar la recuperación o reconstrucción de datos.</w:t>
      </w:r>
    </w:p>
    <w:p w14:paraId="64A3E41D" w14:textId="77777777" w:rsidR="008F72CE" w:rsidRPr="00B616C6" w:rsidRDefault="00B616C6" w:rsidP="00B616C6">
      <w:pPr>
        <w:pStyle w:val="ListBullet"/>
        <w:rPr>
          <w:lang w:val="es-ES"/>
        </w:rPr>
      </w:pPr>
      <w:r w:rsidRPr="00B616C6">
        <w:rPr>
          <w:lang w:val="es-ES"/>
        </w:rPr>
        <w:t xml:space="preserve">Todos los activos de TI que contengan información </w:t>
      </w:r>
      <w:r w:rsidRPr="00B616C6">
        <w:rPr>
          <w:shd w:val="clear" w:color="auto" w:fill="FFFF00"/>
          <w:lang w:val="es-ES"/>
        </w:rPr>
        <w:t>sensible</w:t>
      </w:r>
      <w:r w:rsidRPr="00B616C6">
        <w:rPr>
          <w:lang w:val="es-ES"/>
        </w:rPr>
        <w:t xml:space="preserve"> deberán eliminarse de forma proporcional a su nivel de sensibilidad, conforme al Estándar de clasificación de datos de [</w:t>
      </w:r>
      <w:r w:rsidRPr="00B616C6">
        <w:rPr>
          <w:shd w:val="clear" w:color="auto" w:fill="FFFF00"/>
          <w:lang w:val="es-ES"/>
        </w:rPr>
        <w:t>NOMBRE DE LA EMPRESA</w:t>
      </w:r>
      <w:r w:rsidRPr="00B616C6">
        <w:rPr>
          <w:lang w:val="es-ES"/>
        </w:rPr>
        <w:t>].</w:t>
      </w:r>
    </w:p>
    <w:p w14:paraId="4D69E4D1" w14:textId="77777777" w:rsidR="008F72CE" w:rsidRPr="0089319A" w:rsidRDefault="0089319A" w:rsidP="0089319A">
      <w:pPr>
        <w:pStyle w:val="ListBullet"/>
        <w:rPr>
          <w:lang w:val="es-ES"/>
        </w:rPr>
      </w:pPr>
      <w:r w:rsidRPr="0089319A">
        <w:rPr>
          <w:lang w:val="es-ES"/>
        </w:rPr>
        <w:t>Todos los activos de TI deberán conservarse únicamente durante el tiempo necesario para cumplir los objetivos de la empresa y los requisitos legales y regulatorios.</w:t>
      </w:r>
    </w:p>
    <w:p w14:paraId="187C4AB1" w14:textId="77777777" w:rsidR="008F72CE" w:rsidRPr="00966FBA" w:rsidRDefault="00966FBA" w:rsidP="00966FBA">
      <w:pPr>
        <w:pStyle w:val="ListBullet"/>
        <w:rPr>
          <w:lang w:val="es-ES"/>
        </w:rPr>
      </w:pPr>
      <w:r w:rsidRPr="00966FBA">
        <w:rPr>
          <w:shd w:val="clear" w:color="auto" w:fill="FFFF00"/>
          <w:lang w:val="es-ES"/>
        </w:rPr>
        <w:t>[NOMBRE DE LA EMPRESA]</w:t>
      </w:r>
      <w:r w:rsidRPr="00966FBA">
        <w:rPr>
          <w:lang w:val="es-ES"/>
        </w:rPr>
        <w:t xml:space="preserve"> deberá mantener principios rigurosos relativos a la eliminación segura de los activos de TI. Esto incluye la adhesión a un proceso exhaustivo de saneamiento antes de la eliminación del activo para garantizar que los datos no puedan recuperarse, reconstruirse ni accederse a ellos tras la eliminación. Cuando sea necesario, </w:t>
      </w:r>
      <w:r w:rsidRPr="00966FBA">
        <w:rPr>
          <w:shd w:val="clear" w:color="auto" w:fill="FFFF00"/>
          <w:lang w:val="es-ES"/>
        </w:rPr>
        <w:t>[NOMBRE DE LA EMPRESA]</w:t>
      </w:r>
      <w:r w:rsidRPr="00966FBA">
        <w:rPr>
          <w:lang w:val="es-ES"/>
        </w:rPr>
        <w:t xml:space="preserve"> podrá recurrir a un proveedor externo de confianza para la eliminación de activos.</w:t>
      </w:r>
    </w:p>
    <w:p w14:paraId="709C5CCA" w14:textId="77777777" w:rsidR="008F72CE" w:rsidRPr="007A1E68" w:rsidRDefault="007A1E68" w:rsidP="007A1E68">
      <w:pPr>
        <w:pStyle w:val="ListBullet"/>
        <w:rPr>
          <w:lang w:val="es-ES"/>
        </w:rPr>
      </w:pPr>
      <w:r w:rsidRPr="007A1E68">
        <w:rPr>
          <w:lang w:val="es-ES"/>
        </w:rPr>
        <w:t>Deberán mantenerse registros de los activos eliminados, detallando los métodos de eliminación de conformidad con los requisitos empresariales, legales y regulatorios.</w:t>
      </w:r>
    </w:p>
    <w:p w14:paraId="6315AA21" w14:textId="15CDD9BD" w:rsidR="008F72CE" w:rsidRPr="00807CCA" w:rsidRDefault="00807CCA" w:rsidP="00FB4313">
      <w:pPr>
        <w:pStyle w:val="Heading1"/>
        <w:numPr>
          <w:ilvl w:val="0"/>
          <w:numId w:val="0"/>
        </w:numPr>
        <w:rPr>
          <w:lang w:val="es-ES"/>
        </w:rPr>
      </w:pPr>
      <w:bookmarkStart w:id="8" w:name="_Toc237867808"/>
      <w:r w:rsidRPr="00807CCA">
        <w:rPr>
          <w:lang w:val="es-ES"/>
        </w:rPr>
        <w:t>Directrices para el mantenimiento y conservación</w:t>
      </w:r>
      <w:bookmarkEnd w:id="8"/>
    </w:p>
    <w:p w14:paraId="220A95F5" w14:textId="77777777" w:rsidR="008F72CE" w:rsidRPr="001F31DC" w:rsidRDefault="001F31DC" w:rsidP="00FF3F70">
      <w:pPr>
        <w:rPr>
          <w:lang w:val="es-ES"/>
        </w:rPr>
      </w:pPr>
      <w:r w:rsidRPr="001F31DC">
        <w:rPr>
          <w:lang w:val="es-ES"/>
        </w:rPr>
        <w:t xml:space="preserve">Deberán existir procesos adecuados para garantizar que el inventario se revise al menos </w:t>
      </w:r>
      <w:r w:rsidRPr="001F31DC">
        <w:rPr>
          <w:shd w:val="clear" w:color="auto" w:fill="FFFF00"/>
          <w:lang w:val="es-ES"/>
        </w:rPr>
        <w:t xml:space="preserve">anualmente </w:t>
      </w:r>
      <w:r w:rsidRPr="001F31DC">
        <w:rPr>
          <w:lang w:val="es-ES"/>
        </w:rPr>
        <w:t>con el fin de asegurar que siga siendo preciso y refleje cualquier adquisición, eliminación o cambio. Las siguientes directrices proporcionan un marco para el mantenimiento y la gestión de todos los activos de TI:</w:t>
      </w:r>
    </w:p>
    <w:p w14:paraId="65332989" w14:textId="77777777" w:rsidR="008F72CE" w:rsidRPr="001628A0" w:rsidRDefault="002A10C6">
      <w:pPr>
        <w:pStyle w:val="Heading4-Unnumbered"/>
      </w:pPr>
      <w:proofErr w:type="spellStart"/>
      <w:r w:rsidRPr="002A10C6">
        <w:t>Mantenimiento</w:t>
      </w:r>
      <w:proofErr w:type="spellEnd"/>
      <w:r w:rsidRPr="002A10C6">
        <w:t xml:space="preserve"> </w:t>
      </w:r>
      <w:proofErr w:type="spellStart"/>
      <w:r w:rsidRPr="002A10C6">
        <w:t>programado</w:t>
      </w:r>
      <w:proofErr w:type="spellEnd"/>
    </w:p>
    <w:p w14:paraId="33CE95BC" w14:textId="77777777" w:rsidR="008F72CE" w:rsidRPr="000E0574" w:rsidRDefault="000E0574" w:rsidP="000E0574">
      <w:pPr>
        <w:pStyle w:val="ListBullet"/>
        <w:rPr>
          <w:lang w:val="es-ES"/>
        </w:rPr>
      </w:pPr>
      <w:r w:rsidRPr="000E0574">
        <w:rPr>
          <w:lang w:val="es-ES"/>
        </w:rPr>
        <w:t>Desarrollar calendarios de mantenimiento para todos los activos de TI con el fin de prevenir de forma proactiva fallos inesperados.</w:t>
      </w:r>
    </w:p>
    <w:p w14:paraId="1F2D5250" w14:textId="77777777" w:rsidR="008F72CE" w:rsidRPr="00A011DC" w:rsidRDefault="00A011DC" w:rsidP="00A011DC">
      <w:pPr>
        <w:pStyle w:val="ListBullet"/>
        <w:rPr>
          <w:lang w:val="es-ES"/>
        </w:rPr>
      </w:pPr>
      <w:r w:rsidRPr="00A011DC">
        <w:rPr>
          <w:lang w:val="es-ES"/>
        </w:rPr>
        <w:t>Utilizar contratos de servicio y acuerdos de mantenimiento con proveedores para cubrir las necesidades de mantenimiento. Al contratar servicios de mantenimiento de terceros, evaluar y seleccionar a los proveedores en función de su experiencia y fiabilidad. Gestionar el soporte de terceros de conformidad con la [</w:t>
      </w:r>
      <w:r w:rsidRPr="00A011DC">
        <w:rPr>
          <w:shd w:val="clear" w:color="auto" w:fill="FFFF00"/>
          <w:lang w:val="es-ES"/>
        </w:rPr>
        <w:t>POLÍTICA DE [NOMBRE DE LA EMPRESA]</w:t>
      </w:r>
      <w:r w:rsidRPr="00A011DC">
        <w:rPr>
          <w:lang w:val="es-ES"/>
        </w:rPr>
        <w:t>].</w:t>
      </w:r>
    </w:p>
    <w:p w14:paraId="28A310D4" w14:textId="77777777" w:rsidR="008F72CE" w:rsidRPr="001628A0" w:rsidRDefault="00693B37">
      <w:pPr>
        <w:pStyle w:val="Heading4-Unnumbered"/>
      </w:pPr>
      <w:proofErr w:type="spellStart"/>
      <w:r w:rsidRPr="00693B37">
        <w:lastRenderedPageBreak/>
        <w:t>Informes</w:t>
      </w:r>
      <w:proofErr w:type="spellEnd"/>
      <w:r w:rsidRPr="00693B37">
        <w:t xml:space="preserve"> y </w:t>
      </w:r>
      <w:proofErr w:type="spellStart"/>
      <w:r w:rsidRPr="00693B37">
        <w:t>documentación</w:t>
      </w:r>
      <w:proofErr w:type="spellEnd"/>
    </w:p>
    <w:p w14:paraId="4FB2BFCA" w14:textId="77777777" w:rsidR="008F72CE" w:rsidRPr="00B67D83" w:rsidRDefault="00B67D83" w:rsidP="00B67D83">
      <w:pPr>
        <w:pStyle w:val="ListBullet"/>
        <w:rPr>
          <w:lang w:val="es-ES"/>
        </w:rPr>
      </w:pPr>
      <w:r w:rsidRPr="00B67D83">
        <w:rPr>
          <w:lang w:val="es-ES"/>
        </w:rPr>
        <w:t>Registrar todas las actividades de mantenimiento en el inventario de activos de TI, incluida la fecha, la naturaleza del mantenimiento, el técnico implicado y los costes asociados.</w:t>
      </w:r>
    </w:p>
    <w:p w14:paraId="280871FB" w14:textId="77777777" w:rsidR="008F72CE" w:rsidRPr="00B97F18" w:rsidRDefault="00B97F18" w:rsidP="00B97F18">
      <w:pPr>
        <w:pStyle w:val="ListBullet"/>
        <w:rPr>
          <w:lang w:val="es-ES"/>
        </w:rPr>
      </w:pPr>
      <w:r w:rsidRPr="00B97F18">
        <w:rPr>
          <w:lang w:val="es-ES"/>
        </w:rPr>
        <w:t>Generar informes de mantenimiento para evaluar la utilización de los activos de TI, hacer seguimiento de las actividades de mantenimiento y valorar el cumplimiento de los requisitos de mantenimiento.</w:t>
      </w:r>
    </w:p>
    <w:p w14:paraId="68BCCF13" w14:textId="77777777" w:rsidR="008F72CE" w:rsidRPr="001628A0" w:rsidRDefault="001C2872">
      <w:pPr>
        <w:pStyle w:val="Heading4-Unnumbered"/>
      </w:pPr>
      <w:proofErr w:type="spellStart"/>
      <w:r w:rsidRPr="001C2872">
        <w:t>Auditoría</w:t>
      </w:r>
      <w:proofErr w:type="spellEnd"/>
      <w:r w:rsidRPr="001C2872">
        <w:t xml:space="preserve"> y </w:t>
      </w:r>
      <w:proofErr w:type="spellStart"/>
      <w:r w:rsidRPr="001C2872">
        <w:t>verificación</w:t>
      </w:r>
      <w:proofErr w:type="spellEnd"/>
    </w:p>
    <w:p w14:paraId="24AA52C4" w14:textId="77777777" w:rsidR="008F72CE" w:rsidRPr="00095CE3" w:rsidRDefault="00095CE3" w:rsidP="00095CE3">
      <w:pPr>
        <w:pStyle w:val="ListBullet"/>
        <w:rPr>
          <w:lang w:val="es-ES"/>
        </w:rPr>
      </w:pPr>
      <w:r w:rsidRPr="00095CE3">
        <w:rPr>
          <w:lang w:val="es-ES"/>
        </w:rPr>
        <w:t>Realizar auditorías físicas anuales y conciliaciones de activos para garantizar la fiabilidad e integridad de los registros del inventario.</w:t>
      </w:r>
    </w:p>
    <w:p w14:paraId="00202C7B" w14:textId="77777777" w:rsidR="008F72CE" w:rsidRPr="00DA3C10" w:rsidRDefault="00DA3C10" w:rsidP="00DA3C10">
      <w:pPr>
        <w:pStyle w:val="ListBullet"/>
        <w:rPr>
          <w:lang w:val="es-ES"/>
        </w:rPr>
      </w:pPr>
      <w:r w:rsidRPr="00DA3C10">
        <w:rPr>
          <w:lang w:val="es-ES"/>
        </w:rPr>
        <w:t>Estas auditorías deberán verificar la exactitud de los registros, identificar discrepancias y garantizar el cumplimiento de los acuerdos de licencia.</w:t>
      </w:r>
    </w:p>
    <w:p w14:paraId="5AB88B3C" w14:textId="77777777" w:rsidR="008F72CE" w:rsidRPr="001628A0" w:rsidRDefault="00FD6FC2">
      <w:pPr>
        <w:pStyle w:val="Heading4-Unnumbered"/>
      </w:pPr>
      <w:proofErr w:type="spellStart"/>
      <w:r w:rsidRPr="00FD6FC2">
        <w:t>Mejora</w:t>
      </w:r>
      <w:proofErr w:type="spellEnd"/>
      <w:r w:rsidRPr="00FD6FC2">
        <w:t xml:space="preserve"> continua</w:t>
      </w:r>
    </w:p>
    <w:p w14:paraId="6BD0FEE9" w14:textId="77777777" w:rsidR="008F72CE" w:rsidRPr="00FA5EC7" w:rsidRDefault="00FA5EC7" w:rsidP="00FA5EC7">
      <w:pPr>
        <w:pStyle w:val="ListBullet"/>
        <w:rPr>
          <w:lang w:val="es-ES"/>
        </w:rPr>
      </w:pPr>
      <w:r w:rsidRPr="00FA5EC7">
        <w:rPr>
          <w:lang w:val="es-ES"/>
        </w:rPr>
        <w:t>Establecer circuitos de retroalimentación con el [</w:t>
      </w:r>
      <w:r w:rsidRPr="00FA5EC7">
        <w:rPr>
          <w:shd w:val="clear" w:color="auto" w:fill="FFFF00"/>
          <w:lang w:val="es-ES"/>
        </w:rPr>
        <w:t>EQUIPO/DEPARTAMENTO CORRESPONDIENTE</w:t>
      </w:r>
      <w:r w:rsidRPr="00FA5EC7">
        <w:rPr>
          <w:lang w:val="es-ES"/>
        </w:rPr>
        <w:t>] para evaluar periódicamente la eficacia de las actividades de mantenimiento e implementar las mejoras necesarias.</w:t>
      </w:r>
    </w:p>
    <w:p w14:paraId="27D6AB53" w14:textId="5FA2BA5E" w:rsidR="008F72CE" w:rsidRPr="001628A0" w:rsidRDefault="004F2539" w:rsidP="00FB4313">
      <w:pPr>
        <w:pStyle w:val="Heading1"/>
        <w:numPr>
          <w:ilvl w:val="0"/>
          <w:numId w:val="0"/>
        </w:numPr>
      </w:pPr>
      <w:bookmarkStart w:id="9" w:name="_Toc237867809"/>
      <w:r w:rsidRPr="004F2539">
        <w:t xml:space="preserve">Uso </w:t>
      </w:r>
      <w:proofErr w:type="spellStart"/>
      <w:r w:rsidRPr="004F2539">
        <w:t>aceptable</w:t>
      </w:r>
      <w:bookmarkEnd w:id="9"/>
      <w:proofErr w:type="spellEnd"/>
      <w:r w:rsidRPr="004F2539">
        <w:t xml:space="preserve"> </w:t>
      </w:r>
    </w:p>
    <w:p w14:paraId="70EE6FB6" w14:textId="77777777" w:rsidR="008F72CE" w:rsidRPr="00802C0B" w:rsidRDefault="00802C0B" w:rsidP="003B0DAE">
      <w:pPr>
        <w:rPr>
          <w:lang w:val="es-ES"/>
        </w:rPr>
      </w:pPr>
      <w:r w:rsidRPr="00802C0B">
        <w:rPr>
          <w:lang w:val="es-ES"/>
        </w:rPr>
        <w:t>Los empleados y terceros que utilicen o tengan acceso a los activos de TI de [</w:t>
      </w:r>
      <w:r w:rsidRPr="00802C0B">
        <w:rPr>
          <w:shd w:val="clear" w:color="auto" w:fill="FFFF00"/>
          <w:lang w:val="es-ES"/>
        </w:rPr>
        <w:t>NOMBRE DE LA EMPRESA</w:t>
      </w:r>
      <w:r w:rsidRPr="00802C0B">
        <w:rPr>
          <w:lang w:val="es-ES"/>
        </w:rPr>
        <w:t>] deberán ser informados de los requisitos de seguridad de la información aplicables a dichos activos, así como a las instalaciones y recursos asociados para el tratamiento de la información.</w:t>
      </w:r>
    </w:p>
    <w:p w14:paraId="2A0B32CD" w14:textId="77777777" w:rsidR="008F72CE" w:rsidRPr="0060789C" w:rsidRDefault="0060789C" w:rsidP="00ED5C24">
      <w:pPr>
        <w:rPr>
          <w:lang w:val="es-ES"/>
        </w:rPr>
      </w:pPr>
      <w:r w:rsidRPr="0060789C">
        <w:rPr>
          <w:lang w:val="es-ES"/>
        </w:rPr>
        <w:t>[</w:t>
      </w:r>
      <w:r w:rsidRPr="0060789C">
        <w:rPr>
          <w:shd w:val="clear" w:color="auto" w:fill="FFFF00"/>
          <w:lang w:val="es-ES"/>
        </w:rPr>
        <w:t>NOMBRE DE LA EMPRESA</w:t>
      </w:r>
      <w:r w:rsidRPr="0060789C">
        <w:rPr>
          <w:lang w:val="es-ES"/>
        </w:rPr>
        <w:t>] exige que todos los empleados y terceros sean responsables del uso que hagan de los recursos de tratamiento de la información, incluidas las actividades realizadas bajo su supervisión o responsabilidad.</w:t>
      </w:r>
    </w:p>
    <w:p w14:paraId="2EF16A0C" w14:textId="7A65ABDA" w:rsidR="008F72CE" w:rsidRPr="001628A0" w:rsidRDefault="00E13CCF" w:rsidP="00FB4313">
      <w:pPr>
        <w:pStyle w:val="Heading1"/>
        <w:numPr>
          <w:ilvl w:val="0"/>
          <w:numId w:val="0"/>
        </w:numPr>
      </w:pPr>
      <w:bookmarkStart w:id="10" w:name="_Toc237867810"/>
      <w:proofErr w:type="spellStart"/>
      <w:r w:rsidRPr="00E13CCF">
        <w:t>Excepción</w:t>
      </w:r>
      <w:bookmarkEnd w:id="10"/>
      <w:proofErr w:type="spellEnd"/>
    </w:p>
    <w:p w14:paraId="002E1765" w14:textId="77777777" w:rsidR="008F72CE" w:rsidRPr="00A7297D" w:rsidRDefault="00A7297D" w:rsidP="002B70B2">
      <w:pPr>
        <w:rPr>
          <w:lang w:val="es-ES"/>
        </w:rPr>
      </w:pPr>
      <w:r w:rsidRPr="00A7297D">
        <w:rPr>
          <w:lang w:val="es-ES"/>
        </w:rPr>
        <w:t xml:space="preserve">Cualquier excepción a esta política deberá concederse caso por caso y únicamente con la aprobación por escrito de la </w:t>
      </w:r>
      <w:r w:rsidRPr="00A7297D">
        <w:rPr>
          <w:shd w:val="clear" w:color="auto" w:fill="FFFF00"/>
          <w:lang w:val="es-ES"/>
        </w:rPr>
        <w:t>dirección e IT</w:t>
      </w:r>
      <w:r w:rsidRPr="00A7297D">
        <w:rPr>
          <w:lang w:val="es-ES"/>
        </w:rPr>
        <w:t xml:space="preserve">. Esto deberá incluir una revisión completa por parte del </w:t>
      </w:r>
      <w:r w:rsidRPr="00A7297D">
        <w:rPr>
          <w:shd w:val="clear" w:color="auto" w:fill="FFFF00"/>
          <w:lang w:val="es-ES"/>
        </w:rPr>
        <w:t>[EQUIPO/DEPARTAMENTO CORRESPONDIENTE]</w:t>
      </w:r>
      <w:r w:rsidRPr="00A7297D">
        <w:rPr>
          <w:lang w:val="es-ES"/>
        </w:rPr>
        <w:t xml:space="preserve">, para garantizar que la excepción propuesta siga el proceso de gestión de riesgos de </w:t>
      </w:r>
      <w:r w:rsidRPr="00A7297D">
        <w:rPr>
          <w:shd w:val="clear" w:color="auto" w:fill="FFFF00"/>
          <w:lang w:val="es-ES"/>
        </w:rPr>
        <w:t>[NOMBRE DE LA EMPRESA]</w:t>
      </w:r>
      <w:r w:rsidRPr="00A7297D">
        <w:rPr>
          <w:lang w:val="es-ES"/>
        </w:rPr>
        <w:t xml:space="preserve"> con el fin de identificar, evaluar y mitigar eficazmente cualquier riesgo asociado.</w:t>
      </w:r>
    </w:p>
    <w:p w14:paraId="693E48B9" w14:textId="77777777" w:rsidR="008F72CE" w:rsidRPr="003D0B0E" w:rsidRDefault="003D0B0E" w:rsidP="005E6B62">
      <w:pPr>
        <w:rPr>
          <w:lang w:val="es-ES"/>
        </w:rPr>
      </w:pPr>
      <w:r w:rsidRPr="003D0B0E">
        <w:rPr>
          <w:lang w:val="es-ES"/>
        </w:rPr>
        <w:t>Todas las excepciones aprobadas deberán documentarse, incluidos los motivos de la aprobación y cualquier condición impuesta. Las excepciones estarán sujetas a revisión trimestral para garantizar que las circunstancias que dieron lugar a su aprobación siguen siendo válidas y que los riesgos se gestionan eficazmente.</w:t>
      </w:r>
    </w:p>
    <w:p w14:paraId="5BB172E8" w14:textId="77777777" w:rsidR="008F72CE" w:rsidRPr="001637E5" w:rsidRDefault="001637E5" w:rsidP="0011406C">
      <w:pPr>
        <w:rPr>
          <w:lang w:val="es-ES"/>
        </w:rPr>
      </w:pPr>
      <w:r w:rsidRPr="001637E5">
        <w:rPr>
          <w:lang w:val="es-ES"/>
        </w:rPr>
        <w:t>Será responsabilidad del propietario del activo colaborar con IT para garantizar que su activo cumple los requisitos y está catalogado dentro del inventario de activos.</w:t>
      </w:r>
    </w:p>
    <w:p w14:paraId="595EA9B3" w14:textId="4F9ECCEE" w:rsidR="008F72CE" w:rsidRPr="001628A0" w:rsidRDefault="00CB4511" w:rsidP="00FB4313">
      <w:pPr>
        <w:pStyle w:val="Heading1"/>
        <w:numPr>
          <w:ilvl w:val="0"/>
          <w:numId w:val="0"/>
        </w:numPr>
      </w:pPr>
      <w:bookmarkStart w:id="11" w:name="_Toc237867811"/>
      <w:proofErr w:type="spellStart"/>
      <w:r w:rsidRPr="00CB4511">
        <w:lastRenderedPageBreak/>
        <w:t>Cumplimiento</w:t>
      </w:r>
      <w:bookmarkEnd w:id="11"/>
      <w:proofErr w:type="spellEnd"/>
    </w:p>
    <w:p w14:paraId="070E8199" w14:textId="77777777" w:rsidR="008F72CE" w:rsidRPr="009249E7" w:rsidRDefault="009249E7" w:rsidP="00AC4753">
      <w:pPr>
        <w:rPr>
          <w:lang w:val="es-ES"/>
        </w:rPr>
      </w:pPr>
      <w:r w:rsidRPr="009249E7">
        <w:rPr>
          <w:lang w:val="es-ES"/>
        </w:rPr>
        <w:t>El incumplimiento de esta política podrá dar lugar a medidas disciplinarias. Todos los empleados y terceros deberán cumplir esta política y comunicar cualquier problema o incidente relacionado con ella.</w:t>
      </w:r>
    </w:p>
    <w:p w14:paraId="3F19297D" w14:textId="77777777" w:rsidR="001F331E" w:rsidRPr="009249E7" w:rsidRDefault="001F331E">
      <w:pPr>
        <w:spacing w:before="0" w:after="160" w:line="259" w:lineRule="auto"/>
        <w:rPr>
          <w:lang w:val="es-ES"/>
        </w:rPr>
      </w:pPr>
      <w:r w:rsidRPr="009249E7">
        <w:rPr>
          <w:lang w:val="es-ES"/>
        </w:rPr>
        <w:br w:type="page"/>
      </w:r>
    </w:p>
    <w:p w14:paraId="7483025C" w14:textId="58124B88" w:rsidR="008F72CE" w:rsidRPr="001628A0" w:rsidRDefault="008D47C3" w:rsidP="00FB4313">
      <w:pPr>
        <w:pStyle w:val="Heading1"/>
        <w:numPr>
          <w:ilvl w:val="0"/>
          <w:numId w:val="0"/>
        </w:numPr>
      </w:pPr>
      <w:bookmarkStart w:id="12" w:name="_Toc237867812"/>
      <w:proofErr w:type="spellStart"/>
      <w:r w:rsidRPr="008D47C3">
        <w:lastRenderedPageBreak/>
        <w:t>Apéndice</w:t>
      </w:r>
      <w:proofErr w:type="spellEnd"/>
      <w:r w:rsidRPr="008D47C3">
        <w:t xml:space="preserve">: </w:t>
      </w:r>
      <w:proofErr w:type="spellStart"/>
      <w:r w:rsidRPr="008D47C3">
        <w:t>Definiciones</w:t>
      </w:r>
      <w:bookmarkEnd w:id="12"/>
      <w:proofErr w:type="spellEnd"/>
    </w:p>
    <w:p w14:paraId="0581F9F0" w14:textId="77777777" w:rsidR="008F72CE" w:rsidRPr="00FB492C" w:rsidRDefault="00FB492C" w:rsidP="000A6128">
      <w:pPr>
        <w:rPr>
          <w:lang w:val="es-ES"/>
        </w:rPr>
      </w:pPr>
      <w:r w:rsidRPr="00FB492C">
        <w:rPr>
          <w:lang w:val="es-ES"/>
        </w:rPr>
        <w:t>En este documento se utilizan las siguientes definiciones:</w:t>
      </w:r>
    </w:p>
    <w:tbl>
      <w:tblPr>
        <w:tblStyle w:val="SRM-Table"/>
        <w:tblW w:w="0" w:type="auto"/>
        <w:tblLook w:val="04A0" w:firstRow="1" w:lastRow="0" w:firstColumn="1" w:lastColumn="0" w:noHBand="0" w:noVBand="1"/>
      </w:tblPr>
      <w:tblGrid>
        <w:gridCol w:w="1838"/>
        <w:gridCol w:w="7165"/>
      </w:tblGrid>
      <w:tr w:rsidR="00BE4E22" w14:paraId="1D55E975" w14:textId="77777777" w:rsidTr="00162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7"/>
        </w:trPr>
        <w:tc>
          <w:tcPr>
            <w:tcW w:w="1838" w:type="dxa"/>
          </w:tcPr>
          <w:p w14:paraId="104AF6B7" w14:textId="49B269CE" w:rsidR="00BE4E22" w:rsidRPr="001628A0" w:rsidRDefault="000C0341" w:rsidP="000C0341">
            <w:pPr>
              <w:rPr>
                <w:b/>
                <w:bCs/>
                <w:color w:val="FFFFFF" w:themeColor="background1"/>
              </w:rPr>
            </w:pPr>
            <w:proofErr w:type="spellStart"/>
            <w:r w:rsidRPr="000C0341">
              <w:rPr>
                <w:b/>
                <w:bCs/>
                <w:color w:val="FFFFFF"/>
              </w:rPr>
              <w:t>Término</w:t>
            </w:r>
            <w:proofErr w:type="spellEnd"/>
          </w:p>
        </w:tc>
        <w:tc>
          <w:tcPr>
            <w:tcW w:w="7165" w:type="dxa"/>
          </w:tcPr>
          <w:p w14:paraId="26E79543" w14:textId="2DFD4160" w:rsidR="00BE4E22" w:rsidRPr="001628A0" w:rsidRDefault="008D5A20" w:rsidP="008D5A20">
            <w:pPr>
              <w:rPr>
                <w:b/>
                <w:bCs/>
                <w:color w:val="FFFFFF" w:themeColor="background1"/>
              </w:rPr>
            </w:pPr>
            <w:proofErr w:type="spellStart"/>
            <w:r w:rsidRPr="008D5A20">
              <w:rPr>
                <w:b/>
                <w:bCs/>
                <w:color w:val="FFFFFF"/>
              </w:rPr>
              <w:t>Definición</w:t>
            </w:r>
            <w:proofErr w:type="spellEnd"/>
          </w:p>
        </w:tc>
      </w:tr>
      <w:tr w:rsidR="00BE4E22" w:rsidRPr="00FB4313" w14:paraId="45855A7A" w14:textId="77777777" w:rsidTr="001628A0">
        <w:trPr>
          <w:trHeight w:val="1900"/>
        </w:trPr>
        <w:tc>
          <w:tcPr>
            <w:tcW w:w="1838" w:type="dxa"/>
          </w:tcPr>
          <w:p w14:paraId="03E9F73D" w14:textId="743B8B12" w:rsidR="00BE4E22" w:rsidRPr="001628A0" w:rsidRDefault="00CF265D" w:rsidP="00CF265D">
            <w:pPr>
              <w:pStyle w:val="TableText"/>
              <w:rPr>
                <w:b/>
                <w:bCs/>
              </w:rPr>
            </w:pPr>
            <w:proofErr w:type="spellStart"/>
            <w:r w:rsidRPr="00CF265D">
              <w:rPr>
                <w:b/>
                <w:bCs/>
              </w:rPr>
              <w:t>Activo</w:t>
            </w:r>
            <w:proofErr w:type="spellEnd"/>
          </w:p>
        </w:tc>
        <w:tc>
          <w:tcPr>
            <w:tcW w:w="7165" w:type="dxa"/>
          </w:tcPr>
          <w:p w14:paraId="41BE8872" w14:textId="173FBC88" w:rsidR="00BE4E22" w:rsidRPr="00BA34AC" w:rsidRDefault="00BA34AC" w:rsidP="00BA34AC">
            <w:pPr>
              <w:pStyle w:val="TableText"/>
              <w:rPr>
                <w:lang w:val="es-ES"/>
              </w:rPr>
            </w:pPr>
            <w:r w:rsidRPr="00BA34AC">
              <w:rPr>
                <w:lang w:val="es-ES"/>
              </w:rPr>
              <w:t>Elemento de valor para las partes interesadas. Un activo puede ser tangible (por ejemplo, un elemento físico como hardware, firmware, plataforma informática, dispositivo de red u otro componente tecnológico) o intangible (por ejemplo, personas, datos, información, software, capacidad, función, servicio, marca, derechos de autor, patente, propiedad intelectual, imagen o reputación). El valor de un activo lo determinan las partes interesadas teniendo en cuenta las posibles pérdidas durante todo el ciclo de vida del sistema.</w:t>
            </w:r>
          </w:p>
        </w:tc>
      </w:tr>
      <w:tr w:rsidR="00BE4E22" w:rsidRPr="00FB4313" w14:paraId="19FEA43D" w14:textId="77777777" w:rsidTr="001628A0">
        <w:trPr>
          <w:trHeight w:val="884"/>
        </w:trPr>
        <w:tc>
          <w:tcPr>
            <w:tcW w:w="1838" w:type="dxa"/>
          </w:tcPr>
          <w:p w14:paraId="45EFDEA2" w14:textId="04770CBB" w:rsidR="00BE4E22" w:rsidRPr="001628A0" w:rsidRDefault="00657AD2" w:rsidP="00657AD2">
            <w:pPr>
              <w:pStyle w:val="TableText"/>
              <w:rPr>
                <w:b/>
                <w:bCs/>
              </w:rPr>
            </w:pPr>
            <w:proofErr w:type="spellStart"/>
            <w:r w:rsidRPr="00657AD2">
              <w:rPr>
                <w:b/>
                <w:bCs/>
              </w:rPr>
              <w:t>Propietario</w:t>
            </w:r>
            <w:proofErr w:type="spellEnd"/>
            <w:r w:rsidRPr="00657AD2">
              <w:rPr>
                <w:b/>
                <w:bCs/>
              </w:rPr>
              <w:t xml:space="preserve"> del </w:t>
            </w:r>
            <w:proofErr w:type="spellStart"/>
            <w:r w:rsidRPr="00657AD2">
              <w:rPr>
                <w:b/>
                <w:bCs/>
              </w:rPr>
              <w:t>activo</w:t>
            </w:r>
            <w:proofErr w:type="spellEnd"/>
          </w:p>
        </w:tc>
        <w:tc>
          <w:tcPr>
            <w:tcW w:w="7165" w:type="dxa"/>
          </w:tcPr>
          <w:p w14:paraId="1E3CB529" w14:textId="6C34010C" w:rsidR="00BE4E22" w:rsidRPr="007C2AD1" w:rsidRDefault="007C2AD1" w:rsidP="007C2AD1">
            <w:pPr>
              <w:pStyle w:val="TableText"/>
              <w:rPr>
                <w:lang w:val="es-ES"/>
              </w:rPr>
            </w:pPr>
            <w:r w:rsidRPr="007C2AD1">
              <w:rPr>
                <w:lang w:val="es-ES"/>
              </w:rPr>
              <w:t>Persona u organización responsable del desarrollo, adquisición, integración, modificación, operación y mantenimiento, y/o disposición final de un activo.</w:t>
            </w:r>
          </w:p>
        </w:tc>
      </w:tr>
      <w:tr w:rsidR="00BE4E22" w:rsidRPr="00FB4313" w14:paraId="7B7EDFDA" w14:textId="77777777" w:rsidTr="001628A0">
        <w:trPr>
          <w:trHeight w:val="1098"/>
        </w:trPr>
        <w:tc>
          <w:tcPr>
            <w:tcW w:w="1838" w:type="dxa"/>
          </w:tcPr>
          <w:p w14:paraId="58EF706E" w14:textId="4DAA8ADE" w:rsidR="00BE4E22" w:rsidRPr="001628A0" w:rsidRDefault="005738BD" w:rsidP="005738BD">
            <w:pPr>
              <w:pStyle w:val="TableText"/>
              <w:rPr>
                <w:b/>
                <w:bCs/>
              </w:rPr>
            </w:pPr>
            <w:proofErr w:type="spellStart"/>
            <w:r w:rsidRPr="005738BD">
              <w:rPr>
                <w:b/>
                <w:bCs/>
              </w:rPr>
              <w:t>Evaluación</w:t>
            </w:r>
            <w:proofErr w:type="spellEnd"/>
            <w:r w:rsidRPr="005738BD">
              <w:rPr>
                <w:b/>
                <w:bCs/>
              </w:rPr>
              <w:t xml:space="preserve"> de </w:t>
            </w:r>
            <w:proofErr w:type="spellStart"/>
            <w:r w:rsidRPr="005738BD">
              <w:rPr>
                <w:b/>
                <w:bCs/>
              </w:rPr>
              <w:t>vulnerabilidades</w:t>
            </w:r>
            <w:proofErr w:type="spellEnd"/>
          </w:p>
        </w:tc>
        <w:tc>
          <w:tcPr>
            <w:tcW w:w="7165" w:type="dxa"/>
          </w:tcPr>
          <w:p w14:paraId="74B9159B" w14:textId="6554F029" w:rsidR="00BE4E22" w:rsidRPr="00DE2763" w:rsidRDefault="00DE2763" w:rsidP="00DE2763">
            <w:pPr>
              <w:pStyle w:val="TableText"/>
              <w:rPr>
                <w:lang w:val="es-ES"/>
              </w:rPr>
            </w:pPr>
            <w:r w:rsidRPr="00DE2763">
              <w:rPr>
                <w:lang w:val="es-ES"/>
              </w:rPr>
              <w:t>Examen sistemático de un sistema de información o producto para determinar la adecuación de las medidas de seguridad, identificar deficiencias de seguridad, proporcionar datos que permitan predecir la eficacia de las medidas de seguridad propuestas y confirmar la adecuación de dichas medidas tras su implementación.</w:t>
            </w:r>
          </w:p>
        </w:tc>
      </w:tr>
      <w:tr w:rsidR="00BE4E22" w:rsidRPr="00FB4313" w14:paraId="19B252AF" w14:textId="77777777" w:rsidTr="001628A0">
        <w:trPr>
          <w:trHeight w:val="1327"/>
        </w:trPr>
        <w:tc>
          <w:tcPr>
            <w:tcW w:w="1838" w:type="dxa"/>
          </w:tcPr>
          <w:p w14:paraId="4D5EBAD6" w14:textId="25D07209" w:rsidR="00BE4E22" w:rsidRPr="001628A0" w:rsidRDefault="00D632C8" w:rsidP="00D632C8">
            <w:pPr>
              <w:pStyle w:val="TableText"/>
              <w:rPr>
                <w:b/>
                <w:bCs/>
              </w:rPr>
            </w:pPr>
            <w:proofErr w:type="spellStart"/>
            <w:r w:rsidRPr="00D632C8">
              <w:rPr>
                <w:b/>
                <w:bCs/>
              </w:rPr>
              <w:t>Evaluación</w:t>
            </w:r>
            <w:proofErr w:type="spellEnd"/>
            <w:r w:rsidRPr="00D632C8">
              <w:rPr>
                <w:b/>
                <w:bCs/>
              </w:rPr>
              <w:t xml:space="preserve"> de </w:t>
            </w:r>
            <w:proofErr w:type="spellStart"/>
            <w:r w:rsidRPr="00D632C8">
              <w:rPr>
                <w:b/>
                <w:bCs/>
              </w:rPr>
              <w:t>riesgos</w:t>
            </w:r>
            <w:proofErr w:type="spellEnd"/>
          </w:p>
        </w:tc>
        <w:tc>
          <w:tcPr>
            <w:tcW w:w="7165" w:type="dxa"/>
          </w:tcPr>
          <w:p w14:paraId="46327B55" w14:textId="5CB9127B" w:rsidR="00BE4E22" w:rsidRPr="009A6D7A" w:rsidRDefault="009A6D7A" w:rsidP="009A6D7A">
            <w:pPr>
              <w:pStyle w:val="TableText"/>
              <w:rPr>
                <w:lang w:val="es-ES"/>
              </w:rPr>
            </w:pPr>
            <w:r w:rsidRPr="009A6D7A">
              <w:rPr>
                <w:lang w:val="es-ES"/>
              </w:rPr>
              <w:t>Proceso de identificación de riesgos para las operaciones de la organización (incluidas la misión, funciones, imagen y reputación), los activos de la organización y las personas, derivados de la operación de un sistema de información. Forma parte de la gestión de riesgos, incorpora análisis de amenazas y vulnerabilidades, y tiene en cuenta las mitigaciones proporcionadas por los controles de seguridad planificados o implantados.</w:t>
            </w:r>
          </w:p>
        </w:tc>
      </w:tr>
      <w:tr w:rsidR="00B91C76" w:rsidRPr="00FB4313" w14:paraId="6762406D" w14:textId="77777777" w:rsidTr="001628A0">
        <w:trPr>
          <w:trHeight w:val="803"/>
        </w:trPr>
        <w:tc>
          <w:tcPr>
            <w:tcW w:w="1838" w:type="dxa"/>
          </w:tcPr>
          <w:p w14:paraId="05895408" w14:textId="457EE7DC" w:rsidR="00B91C76" w:rsidRPr="001628A0" w:rsidRDefault="003F3C01" w:rsidP="003F3C01">
            <w:pPr>
              <w:pStyle w:val="TableText"/>
              <w:rPr>
                <w:b/>
                <w:bCs/>
              </w:rPr>
            </w:pPr>
            <w:proofErr w:type="spellStart"/>
            <w:r w:rsidRPr="003F3C01">
              <w:rPr>
                <w:b/>
                <w:bCs/>
              </w:rPr>
              <w:t>Gestión</w:t>
            </w:r>
            <w:proofErr w:type="spellEnd"/>
            <w:r w:rsidRPr="003F3C01">
              <w:rPr>
                <w:b/>
                <w:bCs/>
              </w:rPr>
              <w:t xml:space="preserve"> de </w:t>
            </w:r>
            <w:proofErr w:type="spellStart"/>
            <w:r w:rsidRPr="003F3C01">
              <w:rPr>
                <w:b/>
                <w:bCs/>
              </w:rPr>
              <w:t>riesgos</w:t>
            </w:r>
            <w:proofErr w:type="spellEnd"/>
          </w:p>
        </w:tc>
        <w:tc>
          <w:tcPr>
            <w:tcW w:w="7165" w:type="dxa"/>
          </w:tcPr>
          <w:p w14:paraId="00696C09" w14:textId="289513CC" w:rsidR="00B91C76" w:rsidRPr="005E6879" w:rsidRDefault="005E6879" w:rsidP="005E6879">
            <w:pPr>
              <w:pStyle w:val="TableText"/>
              <w:rPr>
                <w:lang w:val="es-ES"/>
              </w:rPr>
            </w:pPr>
            <w:r w:rsidRPr="005E6879">
              <w:rPr>
                <w:lang w:val="es-ES"/>
              </w:rPr>
              <w:t>Proceso de identificación, evaluación y adopción de medidas para reducir el riesgo hasta un nivel aceptable.</w:t>
            </w:r>
          </w:p>
        </w:tc>
      </w:tr>
      <w:tr w:rsidR="00886BE7" w:rsidRPr="00FB4313" w14:paraId="7EBC03AD" w14:textId="77777777" w:rsidTr="001628A0">
        <w:trPr>
          <w:trHeight w:val="1327"/>
        </w:trPr>
        <w:tc>
          <w:tcPr>
            <w:tcW w:w="1838" w:type="dxa"/>
          </w:tcPr>
          <w:p w14:paraId="393C8F24" w14:textId="16AD5DE6" w:rsidR="00886BE7" w:rsidRPr="0043015A" w:rsidRDefault="0043015A" w:rsidP="0043015A">
            <w:pPr>
              <w:pStyle w:val="TableText"/>
              <w:rPr>
                <w:b/>
                <w:bCs/>
                <w:lang w:val="es-ES"/>
              </w:rPr>
            </w:pPr>
            <w:r w:rsidRPr="0043015A">
              <w:rPr>
                <w:b/>
                <w:bCs/>
                <w:lang w:val="es-ES"/>
              </w:rPr>
              <w:t>Riesgo de la cadena de suministro</w:t>
            </w:r>
          </w:p>
        </w:tc>
        <w:tc>
          <w:tcPr>
            <w:tcW w:w="7165" w:type="dxa"/>
          </w:tcPr>
          <w:p w14:paraId="634C3C8E" w14:textId="6B4B59CD" w:rsidR="00886BE7" w:rsidRPr="008A0163" w:rsidRDefault="008A0163" w:rsidP="008A0163">
            <w:pPr>
              <w:pStyle w:val="TableText"/>
              <w:rPr>
                <w:lang w:val="es-ES"/>
              </w:rPr>
            </w:pPr>
            <w:r w:rsidRPr="008A0163">
              <w:rPr>
                <w:lang w:val="es-ES"/>
              </w:rPr>
              <w:t>Potencial de daño o compromiso que surge como consecuencia de riesgos de seguridad procedentes de proveedores, sus cadenas de suministro y sus productos o servicios. Los riesgos de la cadena de suministro incluyen exposiciones, amenazas y vulnerabilidades asociadas a los productos y servicios que transitan por la cadena de suministro, así como exposiciones, amenazas y vulnerabilidades que afectan a la propia cadena de suministro.</w:t>
            </w:r>
          </w:p>
        </w:tc>
      </w:tr>
      <w:tr w:rsidR="00112A46" w:rsidRPr="00FB4313" w14:paraId="0C4FE835" w14:textId="77777777" w:rsidTr="001628A0">
        <w:trPr>
          <w:trHeight w:val="384"/>
        </w:trPr>
        <w:tc>
          <w:tcPr>
            <w:tcW w:w="1838" w:type="dxa"/>
          </w:tcPr>
          <w:p w14:paraId="1F86C690" w14:textId="69BBCA9D" w:rsidR="00112A46" w:rsidRPr="001628A0" w:rsidRDefault="001E5383" w:rsidP="001E5383">
            <w:pPr>
              <w:pStyle w:val="TableText"/>
              <w:rPr>
                <w:b/>
                <w:bCs/>
              </w:rPr>
            </w:pPr>
            <w:r w:rsidRPr="001E5383">
              <w:rPr>
                <w:b/>
                <w:bCs/>
              </w:rPr>
              <w:t>Tercero</w:t>
            </w:r>
          </w:p>
        </w:tc>
        <w:tc>
          <w:tcPr>
            <w:tcW w:w="7165" w:type="dxa"/>
          </w:tcPr>
          <w:p w14:paraId="107C5184" w14:textId="422DA88F" w:rsidR="00112A46" w:rsidRPr="00AC0DF4" w:rsidRDefault="00AC0DF4" w:rsidP="00AC0DF4">
            <w:pPr>
              <w:pStyle w:val="TableText"/>
              <w:rPr>
                <w:lang w:val="es-ES"/>
              </w:rPr>
            </w:pPr>
            <w:r w:rsidRPr="00AC0DF4">
              <w:rPr>
                <w:lang w:val="es-ES"/>
              </w:rPr>
              <w:t xml:space="preserve">Organización o persona externa a </w:t>
            </w:r>
            <w:r w:rsidRPr="00AC0DF4">
              <w:rPr>
                <w:shd w:val="clear" w:color="auto" w:fill="FFFF00"/>
                <w:lang w:val="es-ES"/>
              </w:rPr>
              <w:t>[NOMBRE DE LA EMPRESA]</w:t>
            </w:r>
            <w:r w:rsidRPr="00AC0DF4">
              <w:rPr>
                <w:lang w:val="es-ES"/>
              </w:rPr>
              <w:t xml:space="preserve"> que proporciona productos o servicios.</w:t>
            </w:r>
          </w:p>
        </w:tc>
      </w:tr>
      <w:tr w:rsidR="007E10D8" w:rsidRPr="00FB4313" w14:paraId="48AE0CAD" w14:textId="77777777" w:rsidTr="001628A0">
        <w:trPr>
          <w:trHeight w:val="254"/>
        </w:trPr>
        <w:tc>
          <w:tcPr>
            <w:tcW w:w="1838" w:type="dxa"/>
          </w:tcPr>
          <w:p w14:paraId="2C624294" w14:textId="05A67B83" w:rsidR="007E10D8" w:rsidRPr="001628A0" w:rsidRDefault="00BC7733" w:rsidP="00BC7733">
            <w:pPr>
              <w:pStyle w:val="TableText"/>
              <w:rPr>
                <w:b/>
                <w:bCs/>
              </w:rPr>
            </w:pPr>
            <w:proofErr w:type="spellStart"/>
            <w:r w:rsidRPr="00BC7733">
              <w:rPr>
                <w:b/>
                <w:bCs/>
              </w:rPr>
              <w:t>Compras</w:t>
            </w:r>
            <w:proofErr w:type="spellEnd"/>
          </w:p>
        </w:tc>
        <w:tc>
          <w:tcPr>
            <w:tcW w:w="7165" w:type="dxa"/>
          </w:tcPr>
          <w:p w14:paraId="50A0ECEC" w14:textId="428BE90B" w:rsidR="007E10D8" w:rsidRPr="0061223B" w:rsidRDefault="0061223B" w:rsidP="0061223B">
            <w:pPr>
              <w:pStyle w:val="TableText"/>
              <w:rPr>
                <w:lang w:val="es-ES"/>
              </w:rPr>
            </w:pPr>
            <w:r w:rsidRPr="0061223B">
              <w:rPr>
                <w:lang w:val="es-ES"/>
              </w:rPr>
              <w:t>Proceso de adquisición de bienes o servicios, incluidos los activos de TI.</w:t>
            </w:r>
          </w:p>
        </w:tc>
      </w:tr>
      <w:tr w:rsidR="00AE620E" w:rsidRPr="00FB4313" w14:paraId="249BD989" w14:textId="77777777" w:rsidTr="001628A0">
        <w:trPr>
          <w:trHeight w:val="1281"/>
        </w:trPr>
        <w:tc>
          <w:tcPr>
            <w:tcW w:w="1838" w:type="dxa"/>
          </w:tcPr>
          <w:p w14:paraId="5389E9B4" w14:textId="31C2BD39" w:rsidR="00AE620E" w:rsidRPr="001628A0" w:rsidRDefault="00816B8F" w:rsidP="00816B8F">
            <w:pPr>
              <w:pStyle w:val="TableText"/>
              <w:rPr>
                <w:b/>
                <w:bCs/>
              </w:rPr>
            </w:pPr>
            <w:proofErr w:type="spellStart"/>
            <w:r w:rsidRPr="00816B8F">
              <w:rPr>
                <w:b/>
                <w:bCs/>
              </w:rPr>
              <w:lastRenderedPageBreak/>
              <w:t>Eliminación</w:t>
            </w:r>
            <w:proofErr w:type="spellEnd"/>
          </w:p>
        </w:tc>
        <w:tc>
          <w:tcPr>
            <w:tcW w:w="7165" w:type="dxa"/>
          </w:tcPr>
          <w:p w14:paraId="6CD78F28" w14:textId="10B9EF28" w:rsidR="00AE620E" w:rsidRPr="005C4DC8" w:rsidRDefault="005C4DC8" w:rsidP="005C4DC8">
            <w:pPr>
              <w:pStyle w:val="TableText"/>
              <w:rPr>
                <w:lang w:val="es-ES"/>
              </w:rPr>
            </w:pPr>
            <w:r w:rsidRPr="005C4DC8">
              <w:rPr>
                <w:lang w:val="es-ES"/>
              </w:rPr>
              <w:t>Proceso adecuado y seguro de retirada y eliminación de activos que ya no son necesarios, garantizando que cualquier dato residual se destruya de forma segura.</w:t>
            </w:r>
          </w:p>
        </w:tc>
      </w:tr>
      <w:tr w:rsidR="00385F5D" w:rsidRPr="00FB4313" w14:paraId="40E1EF07" w14:textId="77777777" w:rsidTr="001628A0">
        <w:trPr>
          <w:trHeight w:val="1281"/>
        </w:trPr>
        <w:tc>
          <w:tcPr>
            <w:tcW w:w="1838" w:type="dxa"/>
          </w:tcPr>
          <w:p w14:paraId="06FE9D52" w14:textId="01A51536" w:rsidR="00385F5D" w:rsidRPr="001628A0" w:rsidRDefault="00563EEC" w:rsidP="00563EEC">
            <w:pPr>
              <w:pStyle w:val="TableText"/>
              <w:rPr>
                <w:b/>
                <w:bCs/>
              </w:rPr>
            </w:pPr>
            <w:proofErr w:type="spellStart"/>
            <w:r w:rsidRPr="00563EEC">
              <w:rPr>
                <w:b/>
                <w:bCs/>
              </w:rPr>
              <w:t>Gestión</w:t>
            </w:r>
            <w:proofErr w:type="spellEnd"/>
            <w:r w:rsidRPr="00563EEC">
              <w:rPr>
                <w:b/>
                <w:bCs/>
              </w:rPr>
              <w:t xml:space="preserve"> de parches</w:t>
            </w:r>
          </w:p>
        </w:tc>
        <w:tc>
          <w:tcPr>
            <w:tcW w:w="7165" w:type="dxa"/>
          </w:tcPr>
          <w:p w14:paraId="70E5F481" w14:textId="454DE335" w:rsidR="00385F5D" w:rsidRPr="00C96354" w:rsidRDefault="00C96354" w:rsidP="00C96354">
            <w:pPr>
              <w:pStyle w:val="TableText"/>
              <w:rPr>
                <w:lang w:val="es-ES"/>
              </w:rPr>
            </w:pPr>
            <w:r w:rsidRPr="00C96354">
              <w:rPr>
                <w:lang w:val="es-ES"/>
              </w:rPr>
              <w:t xml:space="preserve">Notificación, identificación, despliegue, instalación y verificación sistemáticas de revisiones de código de software de sistemas operativos y aplicaciones. Estas revisiones se conocen como parches, </w:t>
            </w:r>
            <w:proofErr w:type="spellStart"/>
            <w:r w:rsidRPr="00C96354">
              <w:rPr>
                <w:lang w:val="es-ES"/>
              </w:rPr>
              <w:t>hotfixes</w:t>
            </w:r>
            <w:proofErr w:type="spellEnd"/>
            <w:r w:rsidRPr="00C96354">
              <w:rPr>
                <w:lang w:val="es-ES"/>
              </w:rPr>
              <w:t xml:space="preserve"> y </w:t>
            </w:r>
            <w:proofErr w:type="spellStart"/>
            <w:r w:rsidRPr="00C96354">
              <w:rPr>
                <w:lang w:val="es-ES"/>
              </w:rPr>
              <w:t>service</w:t>
            </w:r>
            <w:proofErr w:type="spellEnd"/>
            <w:r w:rsidRPr="00C96354">
              <w:rPr>
                <w:lang w:val="es-ES"/>
              </w:rPr>
              <w:t xml:space="preserve"> packs.</w:t>
            </w:r>
          </w:p>
        </w:tc>
      </w:tr>
    </w:tbl>
    <w:p w14:paraId="59AABA2C" w14:textId="77777777" w:rsidR="008F72CE" w:rsidRPr="00C96354" w:rsidRDefault="008F72CE" w:rsidP="001628A0">
      <w:pPr>
        <w:pStyle w:val="TableText"/>
        <w:rPr>
          <w:lang w:val="es-ES"/>
        </w:rPr>
      </w:pPr>
    </w:p>
    <w:sectPr w:rsidR="008F72CE" w:rsidRPr="00C96354" w:rsidSect="002E5293">
      <w:headerReference w:type="default" r:id="rId7"/>
      <w:footerReference w:type="default" r:id="rId8"/>
      <w:headerReference w:type="first" r:id="rId9"/>
      <w:pgSz w:w="11906" w:h="16838" w:code="9"/>
      <w:pgMar w:top="2268" w:right="1134" w:bottom="1701" w:left="1134" w:header="1134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54EA7" w14:textId="77777777" w:rsidR="00092766" w:rsidRDefault="00092766" w:rsidP="00874A0D">
      <w:pPr>
        <w:spacing w:line="240" w:lineRule="auto"/>
      </w:pPr>
      <w:r>
        <w:separator/>
      </w:r>
    </w:p>
  </w:endnote>
  <w:endnote w:type="continuationSeparator" w:id="0">
    <w:p w14:paraId="192C4135" w14:textId="77777777" w:rsidR="00092766" w:rsidRDefault="00092766" w:rsidP="00874A0D">
      <w:pPr>
        <w:spacing w:line="240" w:lineRule="auto"/>
      </w:pPr>
      <w:r>
        <w:continuationSeparator/>
      </w:r>
    </w:p>
  </w:endnote>
  <w:endnote w:type="continuationNotice" w:id="1">
    <w:p w14:paraId="70D093B3" w14:textId="77777777" w:rsidR="00092766" w:rsidRDefault="0009276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XTUQT+Cambri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65CF" w14:textId="02E41603" w:rsidR="004D1434" w:rsidRPr="004941B7" w:rsidRDefault="004941B7" w:rsidP="00B66794">
    <w:pPr>
      <w:pStyle w:val="Footer"/>
      <w:rPr>
        <w:lang w:val="es-ES"/>
      </w:rPr>
    </w:pPr>
    <w:r w:rsidRPr="004941B7">
      <w:rPr>
        <w:i/>
        <w:iCs/>
        <w:lang w:val="es-ES"/>
      </w:rPr>
      <w:t>Las plantillas de Gobierno de Ciberseguridad de ejemplo se proporcionan únicamente a título orientativo. No han sido elaboradas teniendo un conocimiento detallado de sus sistemas ni de los riesgos específicos de su negocio, y no cubren todas las situaciones posibles ni todas las acciones necesarias para responder a un incidente de ciberseguridad. Usted es responsable de utilizar su propio criterio independiente para evaluar los planes y procedimientos de respuesta a incidentes más adecuados para su organización. Las plantillas de Gobierno de Ciberseguridad de ejemplo no sustituyen el asesoramiento de abogados ni de profesionales de ciberseguridad a la hora de prepararse para un incidente de ciberseguridad o responder al mismo.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B3A68" w14:textId="77777777" w:rsidR="00092766" w:rsidRDefault="00092766" w:rsidP="00874A0D">
      <w:pPr>
        <w:spacing w:line="240" w:lineRule="auto"/>
      </w:pPr>
      <w:r>
        <w:separator/>
      </w:r>
    </w:p>
  </w:footnote>
  <w:footnote w:type="continuationSeparator" w:id="0">
    <w:p w14:paraId="3F181796" w14:textId="77777777" w:rsidR="00092766" w:rsidRDefault="00092766" w:rsidP="00874A0D">
      <w:pPr>
        <w:spacing w:line="240" w:lineRule="auto"/>
      </w:pPr>
      <w:r>
        <w:continuationSeparator/>
      </w:r>
    </w:p>
  </w:footnote>
  <w:footnote w:type="continuationNotice" w:id="1">
    <w:p w14:paraId="3218385F" w14:textId="77777777" w:rsidR="00092766" w:rsidRDefault="00092766">
      <w:pPr>
        <w:spacing w:before="0" w:after="0" w:line="240" w:lineRule="auto"/>
      </w:pPr>
    </w:p>
  </w:footnote>
  <w:footnote w:id="2">
    <w:p w14:paraId="3E474FB3" w14:textId="5E59070B" w:rsidR="004941B7" w:rsidRPr="004941B7" w:rsidRDefault="004941B7" w:rsidP="004941B7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4941B7">
        <w:rPr>
          <w:lang w:val="es-ES"/>
        </w:rPr>
        <w:t xml:space="preserve"> Consulte el apéndice para ver una lista de las definiciones clave.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D6DC" w14:textId="30DF3B75" w:rsidR="00FB4313" w:rsidRDefault="00FB4313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EF8C6C6" wp14:editId="7010B17A">
          <wp:simplePos x="0" y="0"/>
          <wp:positionH relativeFrom="column">
            <wp:posOffset>5334000</wp:posOffset>
          </wp:positionH>
          <wp:positionV relativeFrom="paragraph">
            <wp:posOffset>-87630</wp:posOffset>
          </wp:positionV>
          <wp:extent cx="869315" cy="423545"/>
          <wp:effectExtent l="0" t="0" r="6985" b="0"/>
          <wp:wrapThrough wrapText="bothSides">
            <wp:wrapPolygon edited="0">
              <wp:start x="0" y="0"/>
              <wp:lineTo x="0" y="20402"/>
              <wp:lineTo x="21300" y="20402"/>
              <wp:lineTo x="21300" y="0"/>
              <wp:lineTo x="0" y="0"/>
            </wp:wrapPolygon>
          </wp:wrapThrough>
          <wp:docPr id="1113456709" name="Picture 4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725589" name="Picture 4" descr="A logo of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315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84EA" w14:textId="61C9FB51" w:rsidR="002B6188" w:rsidRDefault="002E529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8232E4" wp14:editId="61E75830">
          <wp:simplePos x="0" y="0"/>
          <wp:positionH relativeFrom="column">
            <wp:posOffset>5647690</wp:posOffset>
          </wp:positionH>
          <wp:positionV relativeFrom="paragraph">
            <wp:posOffset>-415290</wp:posOffset>
          </wp:positionV>
          <wp:extent cx="869315" cy="423545"/>
          <wp:effectExtent l="0" t="0" r="6985" b="0"/>
          <wp:wrapThrough wrapText="bothSides">
            <wp:wrapPolygon edited="0">
              <wp:start x="0" y="0"/>
              <wp:lineTo x="0" y="20402"/>
              <wp:lineTo x="21300" y="20402"/>
              <wp:lineTo x="21300" y="0"/>
              <wp:lineTo x="0" y="0"/>
            </wp:wrapPolygon>
          </wp:wrapThrough>
          <wp:docPr id="792725589" name="Picture 4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725589" name="Picture 4" descr="A logo of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315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A64F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88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A4DC1D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52C82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650C11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A48F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03E92977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A296EE8"/>
    <w:multiLevelType w:val="multilevel"/>
    <w:tmpl w:val="B582E8AE"/>
    <w:styleLink w:val="CurrentList9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ADF513A"/>
    <w:multiLevelType w:val="multilevel"/>
    <w:tmpl w:val="B06A6228"/>
    <w:styleLink w:val="CurrentList8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0EBE4150"/>
    <w:multiLevelType w:val="multilevel"/>
    <w:tmpl w:val="4B78A95A"/>
    <w:lvl w:ilvl="0">
      <w:start w:val="1"/>
      <w:numFmt w:val="decimal"/>
      <w:pStyle w:val="Heading1"/>
      <w:lvlText w:val="%1."/>
      <w:lvlJc w:val="left"/>
      <w:pPr>
        <w:ind w:left="0" w:firstLine="0"/>
      </w:pPr>
      <w:rPr>
        <w:rFonts w:ascii="Arial" w:hAnsi="Arial" w:hint="default"/>
        <w:b/>
        <w:bCs w:val="0"/>
      </w:rPr>
    </w:lvl>
    <w:lvl w:ilvl="1">
      <w:start w:val="1"/>
      <w:numFmt w:val="decimal"/>
      <w:pStyle w:val="Heading2"/>
      <w:lvlText w:val="%1.%2."/>
      <w:lvlJc w:val="left"/>
      <w:pPr>
        <w:ind w:left="0" w:firstLine="0"/>
      </w:pPr>
      <w:rPr>
        <w:rFonts w:ascii="Arial" w:hAnsi="Arial" w:hint="default"/>
        <w:b/>
        <w:bCs w:val="0"/>
        <w:sz w:val="28"/>
        <w:szCs w:val="28"/>
      </w:rPr>
    </w:lvl>
    <w:lvl w:ilvl="2">
      <w:start w:val="1"/>
      <w:numFmt w:val="decimal"/>
      <w:pStyle w:val="Heading3"/>
      <w:lvlText w:val="%1.%2.%3.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pStyle w:val="Heading5"/>
      <w:lvlText w:val="%1.%2.%3.%4.%5.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0" w:firstLine="0"/>
      </w:pPr>
      <w:rPr>
        <w:rFonts w:ascii="Arial" w:hAnsi="Arial" w:hint="default"/>
      </w:rPr>
    </w:lvl>
  </w:abstractNum>
  <w:abstractNum w:abstractNumId="10" w15:restartNumberingAfterBreak="0">
    <w:nsid w:val="0F544E28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ACE"/>
    <w:multiLevelType w:val="multilevel"/>
    <w:tmpl w:val="4D2AC40E"/>
    <w:styleLink w:val="CurrentList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7784517"/>
    <w:multiLevelType w:val="multilevel"/>
    <w:tmpl w:val="12581DBC"/>
    <w:styleLink w:val="CurrentList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C5F4851"/>
    <w:multiLevelType w:val="multilevel"/>
    <w:tmpl w:val="1F72A262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35383F" w:themeColor="text2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rial" w:hAnsi="Arial" w:hint="default"/>
        <w:color w:val="35383F" w:themeColor="text2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rial" w:hAnsi="Arial" w:hint="default"/>
        <w:color w:val="35383F" w:themeColor="text2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rial" w:hAnsi="Arial" w:hint="default"/>
        <w:color w:val="35383F" w:themeColor="text2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  <w:color w:val="35383F" w:themeColor="text2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  <w:color w:val="35383F" w:themeColor="text2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  <w:color w:val="35383F" w:themeColor="text2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  <w:color w:val="35383F" w:themeColor="text2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  <w:color w:val="35383F" w:themeColor="text2"/>
      </w:rPr>
    </w:lvl>
  </w:abstractNum>
  <w:abstractNum w:abstractNumId="14" w15:restartNumberingAfterBreak="0">
    <w:nsid w:val="56BB14EE"/>
    <w:multiLevelType w:val="multilevel"/>
    <w:tmpl w:val="2DFA235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851" w:hanging="511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ind w:left="1474" w:hanging="623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ind w:left="2268" w:hanging="794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ind w:left="2438" w:hanging="964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892"/>
        </w:tabs>
        <w:ind w:left="2552" w:hanging="1078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19"/>
        </w:tabs>
        <w:ind w:left="2722" w:hanging="1248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ind w:left="2835" w:hanging="1361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ind w:left="3005" w:hanging="1531"/>
      </w:pPr>
      <w:rPr>
        <w:rFonts w:ascii="Arial" w:hAnsi="Arial" w:hint="default"/>
      </w:rPr>
    </w:lvl>
  </w:abstractNum>
  <w:abstractNum w:abstractNumId="15" w15:restartNumberingAfterBreak="0">
    <w:nsid w:val="585B751E"/>
    <w:multiLevelType w:val="multilevel"/>
    <w:tmpl w:val="EFE8283E"/>
    <w:lvl w:ilvl="0">
      <w:start w:val="1"/>
      <w:numFmt w:val="bullet"/>
      <w:pStyle w:val="Table-bullet"/>
      <w:lvlText w:val="•"/>
      <w:lvlJc w:val="left"/>
      <w:pPr>
        <w:ind w:left="473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830" w:hanging="35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1913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2633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3353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4073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4793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5513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6233" w:hanging="360"/>
      </w:pPr>
      <w:rPr>
        <w:rFonts w:ascii="Arial" w:hAnsi="Arial" w:hint="default"/>
      </w:rPr>
    </w:lvl>
  </w:abstractNum>
  <w:abstractNum w:abstractNumId="16" w15:restartNumberingAfterBreak="0">
    <w:nsid w:val="5FCF6077"/>
    <w:multiLevelType w:val="multilevel"/>
    <w:tmpl w:val="0AA0F384"/>
    <w:styleLink w:val="CurrentList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18A4343"/>
    <w:multiLevelType w:val="multilevel"/>
    <w:tmpl w:val="99967690"/>
    <w:lvl w:ilvl="0">
      <w:start w:val="1"/>
      <w:numFmt w:val="bullet"/>
      <w:lvlText w:val="•"/>
      <w:lvlJc w:val="left"/>
      <w:pPr>
        <w:ind w:left="340" w:hanging="340"/>
      </w:pPr>
      <w:rPr>
        <w:rFonts w:ascii="Arial" w:hAnsi="Arial" w:hint="default"/>
        <w:color w:val="35383F" w:themeColor="text2"/>
      </w:rPr>
    </w:lvl>
    <w:lvl w:ilvl="1">
      <w:start w:val="4"/>
      <w:numFmt w:val="bullet"/>
      <w:lvlText w:val="-"/>
      <w:lvlJc w:val="left"/>
      <w:pPr>
        <w:ind w:left="700" w:hanging="360"/>
      </w:pPr>
      <w:rPr>
        <w:rFonts w:ascii="Arial" w:eastAsia="Verdana" w:hAnsi="Arial" w:cs="Arial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rial" w:hAnsi="Arial" w:hint="default"/>
        <w:color w:val="35383F" w:themeColor="text2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rial" w:hAnsi="Arial" w:hint="default"/>
        <w:color w:val="35383F" w:themeColor="text2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  <w:color w:val="35383F" w:themeColor="text2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  <w:color w:val="35383F" w:themeColor="text2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  <w:color w:val="35383F" w:themeColor="text2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  <w:color w:val="35383F" w:themeColor="text2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  <w:color w:val="35383F" w:themeColor="text2"/>
      </w:rPr>
    </w:lvl>
  </w:abstractNum>
  <w:abstractNum w:abstractNumId="18" w15:restartNumberingAfterBreak="0">
    <w:nsid w:val="661D3E6B"/>
    <w:multiLevelType w:val="multilevel"/>
    <w:tmpl w:val="DB587EA4"/>
    <w:lvl w:ilvl="0">
      <w:start w:val="1"/>
      <w:numFmt w:val="decimal"/>
      <w:pStyle w:val="ListContinu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0" w:firstLine="20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0" w:firstLine="2041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0" w:firstLine="204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0" w:firstLine="2041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0" w:firstLine="2041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0" w:firstLine="2041"/>
      </w:pPr>
      <w:rPr>
        <w:rFonts w:hint="default"/>
      </w:rPr>
    </w:lvl>
  </w:abstractNum>
  <w:abstractNum w:abstractNumId="19" w15:restartNumberingAfterBreak="0">
    <w:nsid w:val="6C7C1BF0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A226A4"/>
    <w:multiLevelType w:val="multilevel"/>
    <w:tmpl w:val="B4B4FE64"/>
    <w:styleLink w:val="CurrentList5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8FF1098"/>
    <w:multiLevelType w:val="multilevel"/>
    <w:tmpl w:val="97CE1F86"/>
    <w:styleLink w:val="CurrentList1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827400972">
    <w:abstractNumId w:val="6"/>
  </w:num>
  <w:num w:numId="2" w16cid:durableId="1325859253">
    <w:abstractNumId w:val="21"/>
  </w:num>
  <w:num w:numId="3" w16cid:durableId="1036731253">
    <w:abstractNumId w:val="10"/>
  </w:num>
  <w:num w:numId="4" w16cid:durableId="583610172">
    <w:abstractNumId w:val="19"/>
  </w:num>
  <w:num w:numId="5" w16cid:durableId="1613976029">
    <w:abstractNumId w:val="16"/>
  </w:num>
  <w:num w:numId="6" w16cid:durableId="1486969193">
    <w:abstractNumId w:val="20"/>
  </w:num>
  <w:num w:numId="7" w16cid:durableId="1526093046">
    <w:abstractNumId w:val="11"/>
  </w:num>
  <w:num w:numId="8" w16cid:durableId="797642968">
    <w:abstractNumId w:val="12"/>
  </w:num>
  <w:num w:numId="9" w16cid:durableId="1325428375">
    <w:abstractNumId w:val="8"/>
  </w:num>
  <w:num w:numId="10" w16cid:durableId="1691489200">
    <w:abstractNumId w:val="7"/>
  </w:num>
  <w:num w:numId="11" w16cid:durableId="367531359">
    <w:abstractNumId w:val="18"/>
  </w:num>
  <w:num w:numId="12" w16cid:durableId="1667516551">
    <w:abstractNumId w:val="9"/>
  </w:num>
  <w:num w:numId="13" w16cid:durableId="763496878">
    <w:abstractNumId w:val="13"/>
  </w:num>
  <w:num w:numId="14" w16cid:durableId="297147440">
    <w:abstractNumId w:val="5"/>
  </w:num>
  <w:num w:numId="15" w16cid:durableId="580916566">
    <w:abstractNumId w:val="4"/>
  </w:num>
  <w:num w:numId="16" w16cid:durableId="901138379">
    <w:abstractNumId w:val="3"/>
  </w:num>
  <w:num w:numId="17" w16cid:durableId="2133548070">
    <w:abstractNumId w:val="2"/>
  </w:num>
  <w:num w:numId="18" w16cid:durableId="2032491338">
    <w:abstractNumId w:val="14"/>
  </w:num>
  <w:num w:numId="19" w16cid:durableId="1933464493">
    <w:abstractNumId w:val="1"/>
  </w:num>
  <w:num w:numId="20" w16cid:durableId="1597594773">
    <w:abstractNumId w:val="0"/>
  </w:num>
  <w:num w:numId="21" w16cid:durableId="21369350">
    <w:abstractNumId w:val="15"/>
  </w:num>
  <w:num w:numId="22" w16cid:durableId="477571823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20"/>
  <w:hyphenationZone w:val="425"/>
  <w:defaultTableStyle w:val="SRM-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A"/>
    <w:rsid w:val="0000222F"/>
    <w:rsid w:val="00003654"/>
    <w:rsid w:val="000037E2"/>
    <w:rsid w:val="00004DB4"/>
    <w:rsid w:val="00004DD6"/>
    <w:rsid w:val="00005E3B"/>
    <w:rsid w:val="00007B0B"/>
    <w:rsid w:val="00007FEB"/>
    <w:rsid w:val="0001097E"/>
    <w:rsid w:val="00010B33"/>
    <w:rsid w:val="00012BFE"/>
    <w:rsid w:val="000170E3"/>
    <w:rsid w:val="00022617"/>
    <w:rsid w:val="00027763"/>
    <w:rsid w:val="00031E69"/>
    <w:rsid w:val="00035B34"/>
    <w:rsid w:val="00036058"/>
    <w:rsid w:val="000370BA"/>
    <w:rsid w:val="00042C20"/>
    <w:rsid w:val="00043A6A"/>
    <w:rsid w:val="00047050"/>
    <w:rsid w:val="00056198"/>
    <w:rsid w:val="000620BC"/>
    <w:rsid w:val="0006654C"/>
    <w:rsid w:val="000738D2"/>
    <w:rsid w:val="00074FAB"/>
    <w:rsid w:val="0007721A"/>
    <w:rsid w:val="000804CF"/>
    <w:rsid w:val="0008466A"/>
    <w:rsid w:val="000847BF"/>
    <w:rsid w:val="00090A13"/>
    <w:rsid w:val="00090AF3"/>
    <w:rsid w:val="00090EB8"/>
    <w:rsid w:val="00091592"/>
    <w:rsid w:val="00091939"/>
    <w:rsid w:val="00092766"/>
    <w:rsid w:val="00093D46"/>
    <w:rsid w:val="00095CE3"/>
    <w:rsid w:val="00095D67"/>
    <w:rsid w:val="000A0192"/>
    <w:rsid w:val="000A2A8B"/>
    <w:rsid w:val="000A391C"/>
    <w:rsid w:val="000A3C44"/>
    <w:rsid w:val="000A59CB"/>
    <w:rsid w:val="000A6DC7"/>
    <w:rsid w:val="000B1127"/>
    <w:rsid w:val="000B1F71"/>
    <w:rsid w:val="000B4D23"/>
    <w:rsid w:val="000B716E"/>
    <w:rsid w:val="000C0341"/>
    <w:rsid w:val="000C2840"/>
    <w:rsid w:val="000C30B1"/>
    <w:rsid w:val="000C65CD"/>
    <w:rsid w:val="000D1422"/>
    <w:rsid w:val="000D700F"/>
    <w:rsid w:val="000E0574"/>
    <w:rsid w:val="000E0AB0"/>
    <w:rsid w:val="000E1A1E"/>
    <w:rsid w:val="000E311C"/>
    <w:rsid w:val="000E3A4A"/>
    <w:rsid w:val="000F0552"/>
    <w:rsid w:val="000F0DE4"/>
    <w:rsid w:val="000F1D0A"/>
    <w:rsid w:val="000F1F63"/>
    <w:rsid w:val="000F2656"/>
    <w:rsid w:val="000F2DF8"/>
    <w:rsid w:val="0010000F"/>
    <w:rsid w:val="001016F6"/>
    <w:rsid w:val="00103290"/>
    <w:rsid w:val="00104B6F"/>
    <w:rsid w:val="00112A46"/>
    <w:rsid w:val="00114F79"/>
    <w:rsid w:val="001172C6"/>
    <w:rsid w:val="00117F8B"/>
    <w:rsid w:val="001216B8"/>
    <w:rsid w:val="00122672"/>
    <w:rsid w:val="00125059"/>
    <w:rsid w:val="0012638F"/>
    <w:rsid w:val="00126AA2"/>
    <w:rsid w:val="00133A71"/>
    <w:rsid w:val="00133C15"/>
    <w:rsid w:val="001340B5"/>
    <w:rsid w:val="001432F7"/>
    <w:rsid w:val="001445E3"/>
    <w:rsid w:val="0014609B"/>
    <w:rsid w:val="0015110F"/>
    <w:rsid w:val="00151505"/>
    <w:rsid w:val="00154E9C"/>
    <w:rsid w:val="0016037A"/>
    <w:rsid w:val="00162525"/>
    <w:rsid w:val="001628A0"/>
    <w:rsid w:val="001633DD"/>
    <w:rsid w:val="001637E5"/>
    <w:rsid w:val="00165D9E"/>
    <w:rsid w:val="00166326"/>
    <w:rsid w:val="0017057A"/>
    <w:rsid w:val="001716A3"/>
    <w:rsid w:val="00173FC4"/>
    <w:rsid w:val="0017418E"/>
    <w:rsid w:val="0017482C"/>
    <w:rsid w:val="0017773A"/>
    <w:rsid w:val="00180876"/>
    <w:rsid w:val="001810DD"/>
    <w:rsid w:val="00183BB4"/>
    <w:rsid w:val="0018649B"/>
    <w:rsid w:val="00187C0D"/>
    <w:rsid w:val="00187D28"/>
    <w:rsid w:val="00191B56"/>
    <w:rsid w:val="00191B77"/>
    <w:rsid w:val="00192757"/>
    <w:rsid w:val="001966B9"/>
    <w:rsid w:val="001A0A2B"/>
    <w:rsid w:val="001A1364"/>
    <w:rsid w:val="001A25EB"/>
    <w:rsid w:val="001A27EF"/>
    <w:rsid w:val="001A7ACF"/>
    <w:rsid w:val="001A7FEC"/>
    <w:rsid w:val="001B071F"/>
    <w:rsid w:val="001B2ED4"/>
    <w:rsid w:val="001B3344"/>
    <w:rsid w:val="001B4D42"/>
    <w:rsid w:val="001B5B23"/>
    <w:rsid w:val="001B6A27"/>
    <w:rsid w:val="001C0112"/>
    <w:rsid w:val="001C017C"/>
    <w:rsid w:val="001C2872"/>
    <w:rsid w:val="001C41BF"/>
    <w:rsid w:val="001C5859"/>
    <w:rsid w:val="001C68B3"/>
    <w:rsid w:val="001C7427"/>
    <w:rsid w:val="001D1463"/>
    <w:rsid w:val="001D23F8"/>
    <w:rsid w:val="001D7953"/>
    <w:rsid w:val="001E2400"/>
    <w:rsid w:val="001E2B9C"/>
    <w:rsid w:val="001E335E"/>
    <w:rsid w:val="001E3921"/>
    <w:rsid w:val="001E5383"/>
    <w:rsid w:val="001E66E2"/>
    <w:rsid w:val="001F10EA"/>
    <w:rsid w:val="001F1E35"/>
    <w:rsid w:val="001F2EA4"/>
    <w:rsid w:val="001F31DC"/>
    <w:rsid w:val="001F331E"/>
    <w:rsid w:val="001F36C6"/>
    <w:rsid w:val="001F7959"/>
    <w:rsid w:val="00203E45"/>
    <w:rsid w:val="00204C84"/>
    <w:rsid w:val="00205384"/>
    <w:rsid w:val="002067D9"/>
    <w:rsid w:val="00206C94"/>
    <w:rsid w:val="00213267"/>
    <w:rsid w:val="00214A46"/>
    <w:rsid w:val="00220FDA"/>
    <w:rsid w:val="002222FD"/>
    <w:rsid w:val="00224045"/>
    <w:rsid w:val="00224064"/>
    <w:rsid w:val="00227ADA"/>
    <w:rsid w:val="00227D13"/>
    <w:rsid w:val="00227FE8"/>
    <w:rsid w:val="00231FE6"/>
    <w:rsid w:val="00234730"/>
    <w:rsid w:val="002376E0"/>
    <w:rsid w:val="002402EC"/>
    <w:rsid w:val="00242ECA"/>
    <w:rsid w:val="0024479A"/>
    <w:rsid w:val="002452DF"/>
    <w:rsid w:val="00245F34"/>
    <w:rsid w:val="0024706A"/>
    <w:rsid w:val="002506EB"/>
    <w:rsid w:val="002509AD"/>
    <w:rsid w:val="00252196"/>
    <w:rsid w:val="0025584B"/>
    <w:rsid w:val="00255BC1"/>
    <w:rsid w:val="0026112A"/>
    <w:rsid w:val="00262758"/>
    <w:rsid w:val="00264EBD"/>
    <w:rsid w:val="00267FB9"/>
    <w:rsid w:val="002757B6"/>
    <w:rsid w:val="00281F46"/>
    <w:rsid w:val="0028284F"/>
    <w:rsid w:val="00282FE5"/>
    <w:rsid w:val="00284B8D"/>
    <w:rsid w:val="002872A7"/>
    <w:rsid w:val="00287600"/>
    <w:rsid w:val="00292490"/>
    <w:rsid w:val="00293297"/>
    <w:rsid w:val="002952C1"/>
    <w:rsid w:val="00297A2E"/>
    <w:rsid w:val="002A10C6"/>
    <w:rsid w:val="002A1E84"/>
    <w:rsid w:val="002A224F"/>
    <w:rsid w:val="002A2EC2"/>
    <w:rsid w:val="002A474F"/>
    <w:rsid w:val="002B457F"/>
    <w:rsid w:val="002B6188"/>
    <w:rsid w:val="002C23C6"/>
    <w:rsid w:val="002C339A"/>
    <w:rsid w:val="002C5753"/>
    <w:rsid w:val="002C662F"/>
    <w:rsid w:val="002D0141"/>
    <w:rsid w:val="002D0B9F"/>
    <w:rsid w:val="002D27DF"/>
    <w:rsid w:val="002D62FB"/>
    <w:rsid w:val="002E2A9F"/>
    <w:rsid w:val="002E3F1A"/>
    <w:rsid w:val="002E5293"/>
    <w:rsid w:val="002F1C41"/>
    <w:rsid w:val="002F24F5"/>
    <w:rsid w:val="002F3717"/>
    <w:rsid w:val="00301F52"/>
    <w:rsid w:val="00310E97"/>
    <w:rsid w:val="00315108"/>
    <w:rsid w:val="003202EA"/>
    <w:rsid w:val="0032193F"/>
    <w:rsid w:val="0032467F"/>
    <w:rsid w:val="003250B5"/>
    <w:rsid w:val="00327B5F"/>
    <w:rsid w:val="003313F9"/>
    <w:rsid w:val="00332CA6"/>
    <w:rsid w:val="00335749"/>
    <w:rsid w:val="003378DC"/>
    <w:rsid w:val="003406EF"/>
    <w:rsid w:val="00340BDC"/>
    <w:rsid w:val="00340D2D"/>
    <w:rsid w:val="003429BD"/>
    <w:rsid w:val="00343A25"/>
    <w:rsid w:val="00345616"/>
    <w:rsid w:val="00350F27"/>
    <w:rsid w:val="003512D4"/>
    <w:rsid w:val="003526FA"/>
    <w:rsid w:val="0035338D"/>
    <w:rsid w:val="00357311"/>
    <w:rsid w:val="003604E4"/>
    <w:rsid w:val="00362134"/>
    <w:rsid w:val="00364BD5"/>
    <w:rsid w:val="00364E4A"/>
    <w:rsid w:val="0036771D"/>
    <w:rsid w:val="00367C21"/>
    <w:rsid w:val="00371BCB"/>
    <w:rsid w:val="00373317"/>
    <w:rsid w:val="0037464A"/>
    <w:rsid w:val="00374E3F"/>
    <w:rsid w:val="00376E7E"/>
    <w:rsid w:val="0038055F"/>
    <w:rsid w:val="0038098D"/>
    <w:rsid w:val="00380BE1"/>
    <w:rsid w:val="00380C3F"/>
    <w:rsid w:val="00381077"/>
    <w:rsid w:val="00381844"/>
    <w:rsid w:val="00382765"/>
    <w:rsid w:val="00382E5B"/>
    <w:rsid w:val="00384E56"/>
    <w:rsid w:val="00385F5D"/>
    <w:rsid w:val="00385FE0"/>
    <w:rsid w:val="00391932"/>
    <w:rsid w:val="00392A35"/>
    <w:rsid w:val="00393AF3"/>
    <w:rsid w:val="003962BC"/>
    <w:rsid w:val="003A2812"/>
    <w:rsid w:val="003A71D3"/>
    <w:rsid w:val="003A76E2"/>
    <w:rsid w:val="003B0EBD"/>
    <w:rsid w:val="003B275F"/>
    <w:rsid w:val="003C0B45"/>
    <w:rsid w:val="003C34D3"/>
    <w:rsid w:val="003C41F3"/>
    <w:rsid w:val="003C52B7"/>
    <w:rsid w:val="003C5787"/>
    <w:rsid w:val="003C7143"/>
    <w:rsid w:val="003D05AC"/>
    <w:rsid w:val="003D0B0E"/>
    <w:rsid w:val="003D21CC"/>
    <w:rsid w:val="003D4797"/>
    <w:rsid w:val="003D540D"/>
    <w:rsid w:val="003D58CD"/>
    <w:rsid w:val="003D619E"/>
    <w:rsid w:val="003D6545"/>
    <w:rsid w:val="003E4996"/>
    <w:rsid w:val="003E67D5"/>
    <w:rsid w:val="003F21A4"/>
    <w:rsid w:val="003F3C01"/>
    <w:rsid w:val="004031CF"/>
    <w:rsid w:val="00406361"/>
    <w:rsid w:val="004163D2"/>
    <w:rsid w:val="00416754"/>
    <w:rsid w:val="00416881"/>
    <w:rsid w:val="004215E2"/>
    <w:rsid w:val="00425241"/>
    <w:rsid w:val="004253C9"/>
    <w:rsid w:val="004278BA"/>
    <w:rsid w:val="0043015A"/>
    <w:rsid w:val="00430D97"/>
    <w:rsid w:val="0043191C"/>
    <w:rsid w:val="00431C35"/>
    <w:rsid w:val="00436943"/>
    <w:rsid w:val="00442CB7"/>
    <w:rsid w:val="004439D1"/>
    <w:rsid w:val="00443CC2"/>
    <w:rsid w:val="00444BF4"/>
    <w:rsid w:val="00450F44"/>
    <w:rsid w:val="004548E7"/>
    <w:rsid w:val="00455713"/>
    <w:rsid w:val="00460C7D"/>
    <w:rsid w:val="00461062"/>
    <w:rsid w:val="00461E84"/>
    <w:rsid w:val="0046373F"/>
    <w:rsid w:val="004642C3"/>
    <w:rsid w:val="00465E53"/>
    <w:rsid w:val="00470869"/>
    <w:rsid w:val="00473EA6"/>
    <w:rsid w:val="00477478"/>
    <w:rsid w:val="00477E37"/>
    <w:rsid w:val="00482E2E"/>
    <w:rsid w:val="0049063A"/>
    <w:rsid w:val="004941B7"/>
    <w:rsid w:val="0049682B"/>
    <w:rsid w:val="004A0965"/>
    <w:rsid w:val="004A1D6E"/>
    <w:rsid w:val="004A4B5C"/>
    <w:rsid w:val="004A6B96"/>
    <w:rsid w:val="004B1ACB"/>
    <w:rsid w:val="004B4060"/>
    <w:rsid w:val="004B49D6"/>
    <w:rsid w:val="004B572A"/>
    <w:rsid w:val="004B5B58"/>
    <w:rsid w:val="004C1CE0"/>
    <w:rsid w:val="004C2322"/>
    <w:rsid w:val="004D1434"/>
    <w:rsid w:val="004D34B2"/>
    <w:rsid w:val="004D365F"/>
    <w:rsid w:val="004D38D6"/>
    <w:rsid w:val="004D7B2C"/>
    <w:rsid w:val="004E0879"/>
    <w:rsid w:val="004E1FAC"/>
    <w:rsid w:val="004E4723"/>
    <w:rsid w:val="004E5F8C"/>
    <w:rsid w:val="004E6B6F"/>
    <w:rsid w:val="004E6C66"/>
    <w:rsid w:val="004E6EAE"/>
    <w:rsid w:val="004E752E"/>
    <w:rsid w:val="004F12BF"/>
    <w:rsid w:val="004F1392"/>
    <w:rsid w:val="004F18E3"/>
    <w:rsid w:val="004F2539"/>
    <w:rsid w:val="004F2DDC"/>
    <w:rsid w:val="004F3BB2"/>
    <w:rsid w:val="00504410"/>
    <w:rsid w:val="00505CF3"/>
    <w:rsid w:val="00506029"/>
    <w:rsid w:val="0050626F"/>
    <w:rsid w:val="00506BBB"/>
    <w:rsid w:val="00510A01"/>
    <w:rsid w:val="005146EE"/>
    <w:rsid w:val="00516858"/>
    <w:rsid w:val="005207BC"/>
    <w:rsid w:val="00521440"/>
    <w:rsid w:val="00521709"/>
    <w:rsid w:val="0052205E"/>
    <w:rsid w:val="00522153"/>
    <w:rsid w:val="0052452B"/>
    <w:rsid w:val="00524A12"/>
    <w:rsid w:val="00526EFC"/>
    <w:rsid w:val="00527004"/>
    <w:rsid w:val="00527021"/>
    <w:rsid w:val="005305B5"/>
    <w:rsid w:val="00530A49"/>
    <w:rsid w:val="00533617"/>
    <w:rsid w:val="00533F50"/>
    <w:rsid w:val="005351F0"/>
    <w:rsid w:val="00535540"/>
    <w:rsid w:val="00535BA1"/>
    <w:rsid w:val="00535FCE"/>
    <w:rsid w:val="00541B76"/>
    <w:rsid w:val="00541DDB"/>
    <w:rsid w:val="00542E0C"/>
    <w:rsid w:val="00544F07"/>
    <w:rsid w:val="005451F8"/>
    <w:rsid w:val="00550501"/>
    <w:rsid w:val="005512EA"/>
    <w:rsid w:val="0055433F"/>
    <w:rsid w:val="00554B1D"/>
    <w:rsid w:val="00555C70"/>
    <w:rsid w:val="00556F8E"/>
    <w:rsid w:val="0055746E"/>
    <w:rsid w:val="00562576"/>
    <w:rsid w:val="00563EEC"/>
    <w:rsid w:val="00564534"/>
    <w:rsid w:val="00570FD7"/>
    <w:rsid w:val="0057152A"/>
    <w:rsid w:val="005737B3"/>
    <w:rsid w:val="005738BD"/>
    <w:rsid w:val="00574ED2"/>
    <w:rsid w:val="0058070C"/>
    <w:rsid w:val="00580897"/>
    <w:rsid w:val="00581A0A"/>
    <w:rsid w:val="005841E5"/>
    <w:rsid w:val="00590B41"/>
    <w:rsid w:val="00592216"/>
    <w:rsid w:val="00592B01"/>
    <w:rsid w:val="00594D6C"/>
    <w:rsid w:val="005972DD"/>
    <w:rsid w:val="005976B5"/>
    <w:rsid w:val="005A14E8"/>
    <w:rsid w:val="005A1522"/>
    <w:rsid w:val="005A17D7"/>
    <w:rsid w:val="005A2C89"/>
    <w:rsid w:val="005B57A8"/>
    <w:rsid w:val="005C0F41"/>
    <w:rsid w:val="005C1B0C"/>
    <w:rsid w:val="005C3049"/>
    <w:rsid w:val="005C4DC8"/>
    <w:rsid w:val="005C7D0D"/>
    <w:rsid w:val="005D0CEF"/>
    <w:rsid w:val="005D24D5"/>
    <w:rsid w:val="005D35ED"/>
    <w:rsid w:val="005D4D8E"/>
    <w:rsid w:val="005D5DCB"/>
    <w:rsid w:val="005D73A9"/>
    <w:rsid w:val="005E0AC8"/>
    <w:rsid w:val="005E2532"/>
    <w:rsid w:val="005E464C"/>
    <w:rsid w:val="005E56AC"/>
    <w:rsid w:val="005E6341"/>
    <w:rsid w:val="005E6879"/>
    <w:rsid w:val="005E6DCB"/>
    <w:rsid w:val="005F03B7"/>
    <w:rsid w:val="005F0718"/>
    <w:rsid w:val="005F0B59"/>
    <w:rsid w:val="005F364A"/>
    <w:rsid w:val="005F4FEE"/>
    <w:rsid w:val="005F7107"/>
    <w:rsid w:val="005F7199"/>
    <w:rsid w:val="006009FE"/>
    <w:rsid w:val="00602450"/>
    <w:rsid w:val="00604FC7"/>
    <w:rsid w:val="0060658F"/>
    <w:rsid w:val="00607509"/>
    <w:rsid w:val="0060789C"/>
    <w:rsid w:val="00611403"/>
    <w:rsid w:val="0061148B"/>
    <w:rsid w:val="0061223B"/>
    <w:rsid w:val="00613586"/>
    <w:rsid w:val="00616836"/>
    <w:rsid w:val="0061702A"/>
    <w:rsid w:val="006221B7"/>
    <w:rsid w:val="00622589"/>
    <w:rsid w:val="006231FB"/>
    <w:rsid w:val="0062442D"/>
    <w:rsid w:val="0062470B"/>
    <w:rsid w:val="00624CEA"/>
    <w:rsid w:val="0062734B"/>
    <w:rsid w:val="006313B5"/>
    <w:rsid w:val="00634129"/>
    <w:rsid w:val="00637AE6"/>
    <w:rsid w:val="00640A68"/>
    <w:rsid w:val="00641C5D"/>
    <w:rsid w:val="00643992"/>
    <w:rsid w:val="0064748B"/>
    <w:rsid w:val="00650DB5"/>
    <w:rsid w:val="00651840"/>
    <w:rsid w:val="00651DE5"/>
    <w:rsid w:val="0065291C"/>
    <w:rsid w:val="006578E6"/>
    <w:rsid w:val="00657AD2"/>
    <w:rsid w:val="00662911"/>
    <w:rsid w:val="00664364"/>
    <w:rsid w:val="006739F0"/>
    <w:rsid w:val="00674AA8"/>
    <w:rsid w:val="006812D0"/>
    <w:rsid w:val="00683961"/>
    <w:rsid w:val="00691139"/>
    <w:rsid w:val="00693B37"/>
    <w:rsid w:val="00694133"/>
    <w:rsid w:val="0069428F"/>
    <w:rsid w:val="00695842"/>
    <w:rsid w:val="00696A01"/>
    <w:rsid w:val="006A0E56"/>
    <w:rsid w:val="006A1D69"/>
    <w:rsid w:val="006A41D8"/>
    <w:rsid w:val="006A5648"/>
    <w:rsid w:val="006A7C0A"/>
    <w:rsid w:val="006B6ADB"/>
    <w:rsid w:val="006B6C97"/>
    <w:rsid w:val="006C311F"/>
    <w:rsid w:val="006C5B9D"/>
    <w:rsid w:val="006D1288"/>
    <w:rsid w:val="006D2EC9"/>
    <w:rsid w:val="006D605F"/>
    <w:rsid w:val="006E07FA"/>
    <w:rsid w:val="006E0E00"/>
    <w:rsid w:val="006E437B"/>
    <w:rsid w:val="006E6BAE"/>
    <w:rsid w:val="006E6DE7"/>
    <w:rsid w:val="006E6F0F"/>
    <w:rsid w:val="006F19B4"/>
    <w:rsid w:val="006F76B8"/>
    <w:rsid w:val="00703D0E"/>
    <w:rsid w:val="00703E7C"/>
    <w:rsid w:val="00704D2B"/>
    <w:rsid w:val="007052B9"/>
    <w:rsid w:val="0071178C"/>
    <w:rsid w:val="00715FFD"/>
    <w:rsid w:val="00722967"/>
    <w:rsid w:val="00723F1B"/>
    <w:rsid w:val="0072533A"/>
    <w:rsid w:val="00726758"/>
    <w:rsid w:val="00732B6B"/>
    <w:rsid w:val="007331DC"/>
    <w:rsid w:val="00737479"/>
    <w:rsid w:val="007406BD"/>
    <w:rsid w:val="00740DFB"/>
    <w:rsid w:val="007413CD"/>
    <w:rsid w:val="00742172"/>
    <w:rsid w:val="00744C26"/>
    <w:rsid w:val="00745263"/>
    <w:rsid w:val="00747047"/>
    <w:rsid w:val="00750DEE"/>
    <w:rsid w:val="00751172"/>
    <w:rsid w:val="00751522"/>
    <w:rsid w:val="0075160D"/>
    <w:rsid w:val="007526BE"/>
    <w:rsid w:val="00753A44"/>
    <w:rsid w:val="00754500"/>
    <w:rsid w:val="0075510C"/>
    <w:rsid w:val="00755939"/>
    <w:rsid w:val="00756CCD"/>
    <w:rsid w:val="00761A0C"/>
    <w:rsid w:val="00761AFF"/>
    <w:rsid w:val="00762B7D"/>
    <w:rsid w:val="0076424F"/>
    <w:rsid w:val="00772B0B"/>
    <w:rsid w:val="00774183"/>
    <w:rsid w:val="00774CF0"/>
    <w:rsid w:val="00776B34"/>
    <w:rsid w:val="00777685"/>
    <w:rsid w:val="00781543"/>
    <w:rsid w:val="00781892"/>
    <w:rsid w:val="00785187"/>
    <w:rsid w:val="00785C61"/>
    <w:rsid w:val="007861C0"/>
    <w:rsid w:val="0079249A"/>
    <w:rsid w:val="00794DFA"/>
    <w:rsid w:val="00795C52"/>
    <w:rsid w:val="00795F44"/>
    <w:rsid w:val="00796C97"/>
    <w:rsid w:val="0079768E"/>
    <w:rsid w:val="007A0743"/>
    <w:rsid w:val="007A1E68"/>
    <w:rsid w:val="007A4421"/>
    <w:rsid w:val="007B2746"/>
    <w:rsid w:val="007B2843"/>
    <w:rsid w:val="007B2969"/>
    <w:rsid w:val="007B3000"/>
    <w:rsid w:val="007B41AF"/>
    <w:rsid w:val="007B5238"/>
    <w:rsid w:val="007B6D2C"/>
    <w:rsid w:val="007C2AD1"/>
    <w:rsid w:val="007D15E6"/>
    <w:rsid w:val="007D6FB7"/>
    <w:rsid w:val="007E06EB"/>
    <w:rsid w:val="007E0D0D"/>
    <w:rsid w:val="007E10D8"/>
    <w:rsid w:val="007E3B86"/>
    <w:rsid w:val="007E4982"/>
    <w:rsid w:val="007E59EA"/>
    <w:rsid w:val="007E727F"/>
    <w:rsid w:val="007F12FE"/>
    <w:rsid w:val="007F423F"/>
    <w:rsid w:val="007F4B7D"/>
    <w:rsid w:val="007F500C"/>
    <w:rsid w:val="007F6AF9"/>
    <w:rsid w:val="007F6C3F"/>
    <w:rsid w:val="00802C0B"/>
    <w:rsid w:val="008063A7"/>
    <w:rsid w:val="00806BCA"/>
    <w:rsid w:val="00807CCA"/>
    <w:rsid w:val="00810422"/>
    <w:rsid w:val="00810E87"/>
    <w:rsid w:val="00811A1C"/>
    <w:rsid w:val="00815B63"/>
    <w:rsid w:val="00816B8F"/>
    <w:rsid w:val="0082060E"/>
    <w:rsid w:val="00822FFC"/>
    <w:rsid w:val="00824D90"/>
    <w:rsid w:val="008253A4"/>
    <w:rsid w:val="00826A3D"/>
    <w:rsid w:val="00827418"/>
    <w:rsid w:val="00827BCD"/>
    <w:rsid w:val="0083039A"/>
    <w:rsid w:val="0083454B"/>
    <w:rsid w:val="0083477E"/>
    <w:rsid w:val="00841565"/>
    <w:rsid w:val="0084369E"/>
    <w:rsid w:val="00845B06"/>
    <w:rsid w:val="00846FDF"/>
    <w:rsid w:val="00847337"/>
    <w:rsid w:val="00850BD8"/>
    <w:rsid w:val="00850F6B"/>
    <w:rsid w:val="00853AAC"/>
    <w:rsid w:val="00854B6B"/>
    <w:rsid w:val="00855F79"/>
    <w:rsid w:val="00860298"/>
    <w:rsid w:val="00862D9D"/>
    <w:rsid w:val="00863205"/>
    <w:rsid w:val="00863675"/>
    <w:rsid w:val="0086396B"/>
    <w:rsid w:val="008661A9"/>
    <w:rsid w:val="008711AD"/>
    <w:rsid w:val="00871F24"/>
    <w:rsid w:val="00873E17"/>
    <w:rsid w:val="00874A0D"/>
    <w:rsid w:val="00877E99"/>
    <w:rsid w:val="00885DAD"/>
    <w:rsid w:val="00886BE7"/>
    <w:rsid w:val="00887542"/>
    <w:rsid w:val="0088796D"/>
    <w:rsid w:val="00891B27"/>
    <w:rsid w:val="008921C6"/>
    <w:rsid w:val="008928AB"/>
    <w:rsid w:val="0089319A"/>
    <w:rsid w:val="00894184"/>
    <w:rsid w:val="00894EBD"/>
    <w:rsid w:val="00895610"/>
    <w:rsid w:val="0089581A"/>
    <w:rsid w:val="008A0163"/>
    <w:rsid w:val="008A0F9D"/>
    <w:rsid w:val="008A3086"/>
    <w:rsid w:val="008A47D1"/>
    <w:rsid w:val="008B02B3"/>
    <w:rsid w:val="008B0B8E"/>
    <w:rsid w:val="008B1478"/>
    <w:rsid w:val="008B25AF"/>
    <w:rsid w:val="008B6298"/>
    <w:rsid w:val="008B673D"/>
    <w:rsid w:val="008B6B55"/>
    <w:rsid w:val="008C0335"/>
    <w:rsid w:val="008C0A47"/>
    <w:rsid w:val="008C0C2C"/>
    <w:rsid w:val="008C16AC"/>
    <w:rsid w:val="008C423E"/>
    <w:rsid w:val="008C522B"/>
    <w:rsid w:val="008C684E"/>
    <w:rsid w:val="008D0EBD"/>
    <w:rsid w:val="008D47C3"/>
    <w:rsid w:val="008D5A20"/>
    <w:rsid w:val="008E03B8"/>
    <w:rsid w:val="008E061F"/>
    <w:rsid w:val="008E2823"/>
    <w:rsid w:val="008E2D46"/>
    <w:rsid w:val="008E579F"/>
    <w:rsid w:val="008E57C7"/>
    <w:rsid w:val="008F45ED"/>
    <w:rsid w:val="008F4EF1"/>
    <w:rsid w:val="008F55AC"/>
    <w:rsid w:val="008F5B17"/>
    <w:rsid w:val="008F5C32"/>
    <w:rsid w:val="008F6D0A"/>
    <w:rsid w:val="008F71D1"/>
    <w:rsid w:val="008F72CE"/>
    <w:rsid w:val="0090482D"/>
    <w:rsid w:val="00907214"/>
    <w:rsid w:val="009129BA"/>
    <w:rsid w:val="00913325"/>
    <w:rsid w:val="009157E7"/>
    <w:rsid w:val="009158E7"/>
    <w:rsid w:val="00916243"/>
    <w:rsid w:val="0091627B"/>
    <w:rsid w:val="009205AF"/>
    <w:rsid w:val="00921AA0"/>
    <w:rsid w:val="00922906"/>
    <w:rsid w:val="00923F02"/>
    <w:rsid w:val="009249E7"/>
    <w:rsid w:val="00926C41"/>
    <w:rsid w:val="00931418"/>
    <w:rsid w:val="00932A1D"/>
    <w:rsid w:val="0093309F"/>
    <w:rsid w:val="00934460"/>
    <w:rsid w:val="00937DA7"/>
    <w:rsid w:val="00937F1C"/>
    <w:rsid w:val="0094077F"/>
    <w:rsid w:val="009419FA"/>
    <w:rsid w:val="00943749"/>
    <w:rsid w:val="009458A0"/>
    <w:rsid w:val="009460C5"/>
    <w:rsid w:val="00946280"/>
    <w:rsid w:val="009464DE"/>
    <w:rsid w:val="00947604"/>
    <w:rsid w:val="009479B1"/>
    <w:rsid w:val="00951165"/>
    <w:rsid w:val="00951FB3"/>
    <w:rsid w:val="009522CA"/>
    <w:rsid w:val="00952E37"/>
    <w:rsid w:val="0095544C"/>
    <w:rsid w:val="009616C9"/>
    <w:rsid w:val="00961F4C"/>
    <w:rsid w:val="009634D3"/>
    <w:rsid w:val="00965199"/>
    <w:rsid w:val="009663FF"/>
    <w:rsid w:val="00966FBA"/>
    <w:rsid w:val="009719FB"/>
    <w:rsid w:val="00972047"/>
    <w:rsid w:val="00972B7F"/>
    <w:rsid w:val="009739EE"/>
    <w:rsid w:val="00973DF9"/>
    <w:rsid w:val="00974675"/>
    <w:rsid w:val="00981922"/>
    <w:rsid w:val="00983DA4"/>
    <w:rsid w:val="00985B66"/>
    <w:rsid w:val="009864AE"/>
    <w:rsid w:val="00986D5C"/>
    <w:rsid w:val="00990358"/>
    <w:rsid w:val="0099518E"/>
    <w:rsid w:val="009959E5"/>
    <w:rsid w:val="00996F35"/>
    <w:rsid w:val="009A091D"/>
    <w:rsid w:val="009A1231"/>
    <w:rsid w:val="009A13EF"/>
    <w:rsid w:val="009A1842"/>
    <w:rsid w:val="009A312E"/>
    <w:rsid w:val="009A62B4"/>
    <w:rsid w:val="009A67DA"/>
    <w:rsid w:val="009A6D7A"/>
    <w:rsid w:val="009B3D24"/>
    <w:rsid w:val="009B66C6"/>
    <w:rsid w:val="009C0858"/>
    <w:rsid w:val="009C0C91"/>
    <w:rsid w:val="009C134B"/>
    <w:rsid w:val="009C4BAD"/>
    <w:rsid w:val="009C5C18"/>
    <w:rsid w:val="009D093B"/>
    <w:rsid w:val="009D1C7E"/>
    <w:rsid w:val="009D20B6"/>
    <w:rsid w:val="009D26A8"/>
    <w:rsid w:val="009D4326"/>
    <w:rsid w:val="009D64C9"/>
    <w:rsid w:val="009D6D37"/>
    <w:rsid w:val="009D7A2D"/>
    <w:rsid w:val="009E0CA6"/>
    <w:rsid w:val="009E283A"/>
    <w:rsid w:val="009E4825"/>
    <w:rsid w:val="009F09C9"/>
    <w:rsid w:val="009F20D6"/>
    <w:rsid w:val="009F2713"/>
    <w:rsid w:val="009F3601"/>
    <w:rsid w:val="009F50D4"/>
    <w:rsid w:val="009F75E7"/>
    <w:rsid w:val="00A011DC"/>
    <w:rsid w:val="00A013E3"/>
    <w:rsid w:val="00A02203"/>
    <w:rsid w:val="00A07AA4"/>
    <w:rsid w:val="00A1296B"/>
    <w:rsid w:val="00A14B0D"/>
    <w:rsid w:val="00A1531D"/>
    <w:rsid w:val="00A20086"/>
    <w:rsid w:val="00A215D5"/>
    <w:rsid w:val="00A2170D"/>
    <w:rsid w:val="00A22B92"/>
    <w:rsid w:val="00A25D90"/>
    <w:rsid w:val="00A25F5B"/>
    <w:rsid w:val="00A31627"/>
    <w:rsid w:val="00A430ED"/>
    <w:rsid w:val="00A442BC"/>
    <w:rsid w:val="00A44816"/>
    <w:rsid w:val="00A44F13"/>
    <w:rsid w:val="00A54091"/>
    <w:rsid w:val="00A5423B"/>
    <w:rsid w:val="00A64609"/>
    <w:rsid w:val="00A6702B"/>
    <w:rsid w:val="00A67A7B"/>
    <w:rsid w:val="00A70785"/>
    <w:rsid w:val="00A71F51"/>
    <w:rsid w:val="00A7297D"/>
    <w:rsid w:val="00A73B30"/>
    <w:rsid w:val="00A77F91"/>
    <w:rsid w:val="00A80E2E"/>
    <w:rsid w:val="00A8242D"/>
    <w:rsid w:val="00A8299B"/>
    <w:rsid w:val="00A879BD"/>
    <w:rsid w:val="00A9028C"/>
    <w:rsid w:val="00A9199B"/>
    <w:rsid w:val="00A921DD"/>
    <w:rsid w:val="00A92D3A"/>
    <w:rsid w:val="00A938AD"/>
    <w:rsid w:val="00A94808"/>
    <w:rsid w:val="00A979E2"/>
    <w:rsid w:val="00A97B67"/>
    <w:rsid w:val="00AA169E"/>
    <w:rsid w:val="00AA335D"/>
    <w:rsid w:val="00AA3A9C"/>
    <w:rsid w:val="00AA4308"/>
    <w:rsid w:val="00AA6C91"/>
    <w:rsid w:val="00AA7D29"/>
    <w:rsid w:val="00AB51E1"/>
    <w:rsid w:val="00AB53F4"/>
    <w:rsid w:val="00AB5D14"/>
    <w:rsid w:val="00AC0149"/>
    <w:rsid w:val="00AC090F"/>
    <w:rsid w:val="00AC0DF4"/>
    <w:rsid w:val="00AC13CA"/>
    <w:rsid w:val="00AD15E0"/>
    <w:rsid w:val="00AD19CB"/>
    <w:rsid w:val="00AD2141"/>
    <w:rsid w:val="00AD42A5"/>
    <w:rsid w:val="00AD4CE7"/>
    <w:rsid w:val="00AD57A6"/>
    <w:rsid w:val="00AE50E7"/>
    <w:rsid w:val="00AE5BB5"/>
    <w:rsid w:val="00AE620E"/>
    <w:rsid w:val="00AE6609"/>
    <w:rsid w:val="00AE6BF9"/>
    <w:rsid w:val="00AF1B20"/>
    <w:rsid w:val="00AF4D52"/>
    <w:rsid w:val="00AF4FF1"/>
    <w:rsid w:val="00AF5F8E"/>
    <w:rsid w:val="00AF609F"/>
    <w:rsid w:val="00AF63DD"/>
    <w:rsid w:val="00AF790B"/>
    <w:rsid w:val="00B14204"/>
    <w:rsid w:val="00B153F4"/>
    <w:rsid w:val="00B15905"/>
    <w:rsid w:val="00B16ED8"/>
    <w:rsid w:val="00B17DFF"/>
    <w:rsid w:val="00B201A3"/>
    <w:rsid w:val="00B2093E"/>
    <w:rsid w:val="00B22DDA"/>
    <w:rsid w:val="00B24476"/>
    <w:rsid w:val="00B260FA"/>
    <w:rsid w:val="00B266EB"/>
    <w:rsid w:val="00B3184B"/>
    <w:rsid w:val="00B31A26"/>
    <w:rsid w:val="00B3344F"/>
    <w:rsid w:val="00B33E26"/>
    <w:rsid w:val="00B34C6A"/>
    <w:rsid w:val="00B37874"/>
    <w:rsid w:val="00B40218"/>
    <w:rsid w:val="00B40F09"/>
    <w:rsid w:val="00B416BE"/>
    <w:rsid w:val="00B43360"/>
    <w:rsid w:val="00B45AE3"/>
    <w:rsid w:val="00B46AF4"/>
    <w:rsid w:val="00B46D1C"/>
    <w:rsid w:val="00B511C0"/>
    <w:rsid w:val="00B5159B"/>
    <w:rsid w:val="00B53A4D"/>
    <w:rsid w:val="00B53DB9"/>
    <w:rsid w:val="00B616C6"/>
    <w:rsid w:val="00B65701"/>
    <w:rsid w:val="00B65DB3"/>
    <w:rsid w:val="00B66794"/>
    <w:rsid w:val="00B67D83"/>
    <w:rsid w:val="00B7146F"/>
    <w:rsid w:val="00B71B90"/>
    <w:rsid w:val="00B76556"/>
    <w:rsid w:val="00B80592"/>
    <w:rsid w:val="00B8142E"/>
    <w:rsid w:val="00B81803"/>
    <w:rsid w:val="00B8528A"/>
    <w:rsid w:val="00B91C76"/>
    <w:rsid w:val="00B931DC"/>
    <w:rsid w:val="00B97F18"/>
    <w:rsid w:val="00BA0296"/>
    <w:rsid w:val="00BA11D6"/>
    <w:rsid w:val="00BA34AC"/>
    <w:rsid w:val="00BA57AF"/>
    <w:rsid w:val="00BA5F41"/>
    <w:rsid w:val="00BB0411"/>
    <w:rsid w:val="00BB1421"/>
    <w:rsid w:val="00BB4C75"/>
    <w:rsid w:val="00BB4FE6"/>
    <w:rsid w:val="00BB6270"/>
    <w:rsid w:val="00BB6902"/>
    <w:rsid w:val="00BB787A"/>
    <w:rsid w:val="00BC5883"/>
    <w:rsid w:val="00BC5F0A"/>
    <w:rsid w:val="00BC66FD"/>
    <w:rsid w:val="00BC6A3C"/>
    <w:rsid w:val="00BC7733"/>
    <w:rsid w:val="00BD4EC0"/>
    <w:rsid w:val="00BD61A0"/>
    <w:rsid w:val="00BE19DA"/>
    <w:rsid w:val="00BE361C"/>
    <w:rsid w:val="00BE4E22"/>
    <w:rsid w:val="00BE7D4E"/>
    <w:rsid w:val="00BF13E4"/>
    <w:rsid w:val="00BF202E"/>
    <w:rsid w:val="00BF26A3"/>
    <w:rsid w:val="00BF62D5"/>
    <w:rsid w:val="00C01FD0"/>
    <w:rsid w:val="00C03D09"/>
    <w:rsid w:val="00C05D1C"/>
    <w:rsid w:val="00C06A97"/>
    <w:rsid w:val="00C07182"/>
    <w:rsid w:val="00C1083C"/>
    <w:rsid w:val="00C118B8"/>
    <w:rsid w:val="00C11A5A"/>
    <w:rsid w:val="00C141AA"/>
    <w:rsid w:val="00C25F80"/>
    <w:rsid w:val="00C26816"/>
    <w:rsid w:val="00C3020C"/>
    <w:rsid w:val="00C32912"/>
    <w:rsid w:val="00C34002"/>
    <w:rsid w:val="00C34B05"/>
    <w:rsid w:val="00C34C22"/>
    <w:rsid w:val="00C34E28"/>
    <w:rsid w:val="00C35B94"/>
    <w:rsid w:val="00C3753E"/>
    <w:rsid w:val="00C43039"/>
    <w:rsid w:val="00C435EE"/>
    <w:rsid w:val="00C4360C"/>
    <w:rsid w:val="00C4532F"/>
    <w:rsid w:val="00C45380"/>
    <w:rsid w:val="00C532D9"/>
    <w:rsid w:val="00C53B97"/>
    <w:rsid w:val="00C54CEA"/>
    <w:rsid w:val="00C6125A"/>
    <w:rsid w:val="00C63FFF"/>
    <w:rsid w:val="00C7102E"/>
    <w:rsid w:val="00C721F7"/>
    <w:rsid w:val="00C80CCA"/>
    <w:rsid w:val="00C814C2"/>
    <w:rsid w:val="00C81A88"/>
    <w:rsid w:val="00C92D9E"/>
    <w:rsid w:val="00C94773"/>
    <w:rsid w:val="00C94A71"/>
    <w:rsid w:val="00C96354"/>
    <w:rsid w:val="00C969CA"/>
    <w:rsid w:val="00C96FAC"/>
    <w:rsid w:val="00CA0C46"/>
    <w:rsid w:val="00CA3563"/>
    <w:rsid w:val="00CA4B51"/>
    <w:rsid w:val="00CA61DD"/>
    <w:rsid w:val="00CA7BE8"/>
    <w:rsid w:val="00CB20FF"/>
    <w:rsid w:val="00CB25EC"/>
    <w:rsid w:val="00CB26B4"/>
    <w:rsid w:val="00CB4511"/>
    <w:rsid w:val="00CC19D4"/>
    <w:rsid w:val="00CC558C"/>
    <w:rsid w:val="00CC7381"/>
    <w:rsid w:val="00CD3CA7"/>
    <w:rsid w:val="00CD7145"/>
    <w:rsid w:val="00CE0DC2"/>
    <w:rsid w:val="00CF05E0"/>
    <w:rsid w:val="00CF18ED"/>
    <w:rsid w:val="00CF19B9"/>
    <w:rsid w:val="00CF265D"/>
    <w:rsid w:val="00CF2788"/>
    <w:rsid w:val="00CF2829"/>
    <w:rsid w:val="00CF3364"/>
    <w:rsid w:val="00CF3557"/>
    <w:rsid w:val="00CF383F"/>
    <w:rsid w:val="00CF3933"/>
    <w:rsid w:val="00CF589E"/>
    <w:rsid w:val="00CF6F55"/>
    <w:rsid w:val="00D01663"/>
    <w:rsid w:val="00D02C7B"/>
    <w:rsid w:val="00D02F6C"/>
    <w:rsid w:val="00D04C12"/>
    <w:rsid w:val="00D103F5"/>
    <w:rsid w:val="00D11525"/>
    <w:rsid w:val="00D1223C"/>
    <w:rsid w:val="00D14F50"/>
    <w:rsid w:val="00D16217"/>
    <w:rsid w:val="00D1626A"/>
    <w:rsid w:val="00D20754"/>
    <w:rsid w:val="00D20C2C"/>
    <w:rsid w:val="00D229A7"/>
    <w:rsid w:val="00D242DF"/>
    <w:rsid w:val="00D2644C"/>
    <w:rsid w:val="00D2680D"/>
    <w:rsid w:val="00D26D7F"/>
    <w:rsid w:val="00D3005B"/>
    <w:rsid w:val="00D3005E"/>
    <w:rsid w:val="00D40E6B"/>
    <w:rsid w:val="00D4288C"/>
    <w:rsid w:val="00D47284"/>
    <w:rsid w:val="00D47BD5"/>
    <w:rsid w:val="00D51329"/>
    <w:rsid w:val="00D51E65"/>
    <w:rsid w:val="00D54EC9"/>
    <w:rsid w:val="00D56EE5"/>
    <w:rsid w:val="00D57133"/>
    <w:rsid w:val="00D5795F"/>
    <w:rsid w:val="00D60420"/>
    <w:rsid w:val="00D61040"/>
    <w:rsid w:val="00D623F8"/>
    <w:rsid w:val="00D62C87"/>
    <w:rsid w:val="00D62D12"/>
    <w:rsid w:val="00D631BB"/>
    <w:rsid w:val="00D632C8"/>
    <w:rsid w:val="00D6502A"/>
    <w:rsid w:val="00D70BAF"/>
    <w:rsid w:val="00D73F9F"/>
    <w:rsid w:val="00D760A4"/>
    <w:rsid w:val="00D767F3"/>
    <w:rsid w:val="00D80580"/>
    <w:rsid w:val="00D81ACF"/>
    <w:rsid w:val="00D82BBE"/>
    <w:rsid w:val="00D83F76"/>
    <w:rsid w:val="00D8798E"/>
    <w:rsid w:val="00D87A21"/>
    <w:rsid w:val="00D9057C"/>
    <w:rsid w:val="00D917A6"/>
    <w:rsid w:val="00D92CF6"/>
    <w:rsid w:val="00D9302B"/>
    <w:rsid w:val="00D9382A"/>
    <w:rsid w:val="00D966A4"/>
    <w:rsid w:val="00D97CAF"/>
    <w:rsid w:val="00D97D47"/>
    <w:rsid w:val="00DA16AD"/>
    <w:rsid w:val="00DA2801"/>
    <w:rsid w:val="00DA31E4"/>
    <w:rsid w:val="00DA35D4"/>
    <w:rsid w:val="00DA3C10"/>
    <w:rsid w:val="00DA5F8B"/>
    <w:rsid w:val="00DA6B63"/>
    <w:rsid w:val="00DB1840"/>
    <w:rsid w:val="00DB1F48"/>
    <w:rsid w:val="00DB408E"/>
    <w:rsid w:val="00DB5FDE"/>
    <w:rsid w:val="00DB78E6"/>
    <w:rsid w:val="00DC1B9D"/>
    <w:rsid w:val="00DC2650"/>
    <w:rsid w:val="00DC3FE3"/>
    <w:rsid w:val="00DC7856"/>
    <w:rsid w:val="00DD093E"/>
    <w:rsid w:val="00DD2DB0"/>
    <w:rsid w:val="00DD6AF1"/>
    <w:rsid w:val="00DD6CA5"/>
    <w:rsid w:val="00DD7251"/>
    <w:rsid w:val="00DD78C8"/>
    <w:rsid w:val="00DE2763"/>
    <w:rsid w:val="00DE2F5E"/>
    <w:rsid w:val="00DE54FC"/>
    <w:rsid w:val="00DE6FC2"/>
    <w:rsid w:val="00DE7306"/>
    <w:rsid w:val="00DE7752"/>
    <w:rsid w:val="00DE7D52"/>
    <w:rsid w:val="00DF1B8A"/>
    <w:rsid w:val="00DF65F0"/>
    <w:rsid w:val="00E032D5"/>
    <w:rsid w:val="00E040EA"/>
    <w:rsid w:val="00E04EA0"/>
    <w:rsid w:val="00E0696C"/>
    <w:rsid w:val="00E1037B"/>
    <w:rsid w:val="00E12EEC"/>
    <w:rsid w:val="00E13CCF"/>
    <w:rsid w:val="00E147C5"/>
    <w:rsid w:val="00E17FAC"/>
    <w:rsid w:val="00E201E2"/>
    <w:rsid w:val="00E2067A"/>
    <w:rsid w:val="00E21541"/>
    <w:rsid w:val="00E21A4F"/>
    <w:rsid w:val="00E21E50"/>
    <w:rsid w:val="00E254F2"/>
    <w:rsid w:val="00E25D3A"/>
    <w:rsid w:val="00E322FD"/>
    <w:rsid w:val="00E32651"/>
    <w:rsid w:val="00E32719"/>
    <w:rsid w:val="00E33958"/>
    <w:rsid w:val="00E33BD8"/>
    <w:rsid w:val="00E35FB3"/>
    <w:rsid w:val="00E36271"/>
    <w:rsid w:val="00E3791B"/>
    <w:rsid w:val="00E40D0C"/>
    <w:rsid w:val="00E40D3D"/>
    <w:rsid w:val="00E41DC6"/>
    <w:rsid w:val="00E43394"/>
    <w:rsid w:val="00E438DD"/>
    <w:rsid w:val="00E45912"/>
    <w:rsid w:val="00E52960"/>
    <w:rsid w:val="00E53004"/>
    <w:rsid w:val="00E56082"/>
    <w:rsid w:val="00E57A36"/>
    <w:rsid w:val="00E57CA5"/>
    <w:rsid w:val="00E70C9E"/>
    <w:rsid w:val="00E722F4"/>
    <w:rsid w:val="00E73F97"/>
    <w:rsid w:val="00E75945"/>
    <w:rsid w:val="00E76380"/>
    <w:rsid w:val="00E76ECF"/>
    <w:rsid w:val="00E77EC3"/>
    <w:rsid w:val="00E817F7"/>
    <w:rsid w:val="00E82954"/>
    <w:rsid w:val="00E84A1F"/>
    <w:rsid w:val="00E87391"/>
    <w:rsid w:val="00E87743"/>
    <w:rsid w:val="00E90137"/>
    <w:rsid w:val="00E90A1F"/>
    <w:rsid w:val="00E9383F"/>
    <w:rsid w:val="00E96037"/>
    <w:rsid w:val="00E96DD4"/>
    <w:rsid w:val="00EA071A"/>
    <w:rsid w:val="00EA1EA4"/>
    <w:rsid w:val="00EA2D3B"/>
    <w:rsid w:val="00EA3261"/>
    <w:rsid w:val="00EA5475"/>
    <w:rsid w:val="00EA684A"/>
    <w:rsid w:val="00EB2239"/>
    <w:rsid w:val="00EB3889"/>
    <w:rsid w:val="00EC207F"/>
    <w:rsid w:val="00EC61C9"/>
    <w:rsid w:val="00EC66A9"/>
    <w:rsid w:val="00EC693E"/>
    <w:rsid w:val="00ED2B50"/>
    <w:rsid w:val="00ED3761"/>
    <w:rsid w:val="00ED4FC3"/>
    <w:rsid w:val="00ED6A00"/>
    <w:rsid w:val="00ED7671"/>
    <w:rsid w:val="00ED7E84"/>
    <w:rsid w:val="00EE20C8"/>
    <w:rsid w:val="00EE2D8A"/>
    <w:rsid w:val="00EE6B59"/>
    <w:rsid w:val="00EF297A"/>
    <w:rsid w:val="00EF2A8A"/>
    <w:rsid w:val="00EF2AEA"/>
    <w:rsid w:val="00EF6641"/>
    <w:rsid w:val="00EF7211"/>
    <w:rsid w:val="00F035B0"/>
    <w:rsid w:val="00F068EB"/>
    <w:rsid w:val="00F07391"/>
    <w:rsid w:val="00F1147E"/>
    <w:rsid w:val="00F11B27"/>
    <w:rsid w:val="00F12F0F"/>
    <w:rsid w:val="00F21F83"/>
    <w:rsid w:val="00F22CE6"/>
    <w:rsid w:val="00F24997"/>
    <w:rsid w:val="00F25171"/>
    <w:rsid w:val="00F2599F"/>
    <w:rsid w:val="00F276E5"/>
    <w:rsid w:val="00F31003"/>
    <w:rsid w:val="00F32690"/>
    <w:rsid w:val="00F3465C"/>
    <w:rsid w:val="00F3715D"/>
    <w:rsid w:val="00F3734D"/>
    <w:rsid w:val="00F374BF"/>
    <w:rsid w:val="00F37513"/>
    <w:rsid w:val="00F37C5A"/>
    <w:rsid w:val="00F41361"/>
    <w:rsid w:val="00F45040"/>
    <w:rsid w:val="00F50E66"/>
    <w:rsid w:val="00F51FE4"/>
    <w:rsid w:val="00F54E9A"/>
    <w:rsid w:val="00F5753B"/>
    <w:rsid w:val="00F57D59"/>
    <w:rsid w:val="00F65A32"/>
    <w:rsid w:val="00F6692C"/>
    <w:rsid w:val="00F71BF4"/>
    <w:rsid w:val="00F71D65"/>
    <w:rsid w:val="00F740AE"/>
    <w:rsid w:val="00F76600"/>
    <w:rsid w:val="00F77398"/>
    <w:rsid w:val="00F82ED6"/>
    <w:rsid w:val="00F84D81"/>
    <w:rsid w:val="00F87138"/>
    <w:rsid w:val="00F90680"/>
    <w:rsid w:val="00F913C0"/>
    <w:rsid w:val="00F93BC9"/>
    <w:rsid w:val="00F94A37"/>
    <w:rsid w:val="00F96A82"/>
    <w:rsid w:val="00F973AA"/>
    <w:rsid w:val="00FA0193"/>
    <w:rsid w:val="00FA0BB8"/>
    <w:rsid w:val="00FA536D"/>
    <w:rsid w:val="00FA5EC7"/>
    <w:rsid w:val="00FB1469"/>
    <w:rsid w:val="00FB4313"/>
    <w:rsid w:val="00FB492C"/>
    <w:rsid w:val="00FB6185"/>
    <w:rsid w:val="00FB6919"/>
    <w:rsid w:val="00FB7326"/>
    <w:rsid w:val="00FC09E9"/>
    <w:rsid w:val="00FC24A3"/>
    <w:rsid w:val="00FC2E08"/>
    <w:rsid w:val="00FC3CD7"/>
    <w:rsid w:val="00FC428F"/>
    <w:rsid w:val="00FC4ADE"/>
    <w:rsid w:val="00FC4F8C"/>
    <w:rsid w:val="00FC55DC"/>
    <w:rsid w:val="00FD15D4"/>
    <w:rsid w:val="00FD2AD0"/>
    <w:rsid w:val="00FD514D"/>
    <w:rsid w:val="00FD5276"/>
    <w:rsid w:val="00FD6FC2"/>
    <w:rsid w:val="00FE0599"/>
    <w:rsid w:val="00FE15FD"/>
    <w:rsid w:val="00FE21FB"/>
    <w:rsid w:val="00FE4EBF"/>
    <w:rsid w:val="00FE5472"/>
    <w:rsid w:val="00FE55AF"/>
    <w:rsid w:val="00FF0DA6"/>
    <w:rsid w:val="00FF3F4C"/>
    <w:rsid w:val="00FF59FF"/>
    <w:rsid w:val="00FF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373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18"/>
        <w:szCs w:val="18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3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5A32"/>
    <w:pPr>
      <w:spacing w:before="80" w:after="240" w:line="324" w:lineRule="auto"/>
    </w:pPr>
    <w:rPr>
      <w:rFonts w:cs="Times New Roman (Body CS)"/>
      <w:color w:val="35383F" w:themeColor="text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A32"/>
    <w:pPr>
      <w:keepNext/>
      <w:keepLines/>
      <w:numPr>
        <w:numId w:val="12"/>
      </w:numPr>
      <w:spacing w:after="360" w:line="276" w:lineRule="auto"/>
      <w:outlineLvl w:val="0"/>
    </w:pPr>
    <w:rPr>
      <w:rFonts w:eastAsiaTheme="majorEastAsia" w:cs="Times New Roman (Headings CS)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65A32"/>
    <w:pPr>
      <w:numPr>
        <w:ilvl w:val="1"/>
        <w:numId w:val="12"/>
      </w:numPr>
      <w:spacing w:before="360" w:after="120"/>
      <w:outlineLvl w:val="1"/>
    </w:pPr>
    <w:rPr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65A32"/>
    <w:pPr>
      <w:numPr>
        <w:ilvl w:val="2"/>
        <w:numId w:val="12"/>
      </w:numPr>
      <w:spacing w:before="360" w:after="120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F65A32"/>
    <w:pPr>
      <w:keepNext/>
      <w:keepLines/>
      <w:numPr>
        <w:ilvl w:val="3"/>
        <w:numId w:val="12"/>
      </w:numPr>
      <w:spacing w:line="276" w:lineRule="auto"/>
      <w:outlineLvl w:val="3"/>
    </w:pPr>
    <w:rPr>
      <w:rFonts w:eastAsiaTheme="majorEastAsia" w:cstheme="majorBidi"/>
      <w:b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F65A32"/>
    <w:pPr>
      <w:keepNext/>
      <w:keepLines/>
      <w:numPr>
        <w:ilvl w:val="4"/>
        <w:numId w:val="12"/>
      </w:numPr>
      <w:spacing w:before="40"/>
      <w:outlineLvl w:val="4"/>
    </w:pPr>
    <w:rPr>
      <w:rFonts w:asciiTheme="majorHAnsi" w:eastAsiaTheme="majorEastAsia" w:hAnsiTheme="majorHAnsi" w:cstheme="majorBidi"/>
      <w:color w:val="BE46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qFormat/>
    <w:rsid w:val="00F65A32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7E2E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65A32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E2E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qFormat/>
    <w:rsid w:val="00F65A32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F65A32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65A3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32"/>
    <w:rPr>
      <w:rFonts w:cs="Times New Roman (Body CS)"/>
      <w:color w:val="35383F" w:themeColor="text2"/>
    </w:rPr>
  </w:style>
  <w:style w:type="paragraph" w:styleId="Footer">
    <w:name w:val="footer"/>
    <w:basedOn w:val="Normal"/>
    <w:link w:val="FooterChar"/>
    <w:uiPriority w:val="99"/>
    <w:semiHidden/>
    <w:rsid w:val="00F65A32"/>
    <w:pPr>
      <w:tabs>
        <w:tab w:val="center" w:pos="4513"/>
      </w:tabs>
      <w:spacing w:before="0" w:after="0"/>
    </w:pPr>
    <w:rPr>
      <w:color w:val="35383F" w:themeColor="accent3"/>
      <w:sz w:val="1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65A32"/>
    <w:rPr>
      <w:rFonts w:cs="Times New Roman (Body CS)"/>
      <w:color w:val="35383F" w:themeColor="accent3"/>
      <w:sz w:val="15"/>
    </w:rPr>
  </w:style>
  <w:style w:type="character" w:styleId="Hyperlink">
    <w:name w:val="Hyperlink"/>
    <w:basedOn w:val="DefaultParagraphFont"/>
    <w:uiPriority w:val="99"/>
    <w:rsid w:val="00F65A32"/>
    <w:rPr>
      <w:color w:val="35383F" w:themeColor="hyperlink"/>
      <w:u w:val="single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5A32"/>
    <w:rPr>
      <w:color w:val="808080"/>
      <w:shd w:val="clear" w:color="auto" w:fill="E6E6E6"/>
      <w:lang w:val="en-GB"/>
    </w:rPr>
  </w:style>
  <w:style w:type="paragraph" w:customStyle="1" w:styleId="FooterText">
    <w:name w:val="FooterText"/>
    <w:autoRedefine/>
    <w:uiPriority w:val="4"/>
    <w:semiHidden/>
    <w:qFormat/>
    <w:rsid w:val="00F65A32"/>
    <w:pPr>
      <w:spacing w:after="0"/>
    </w:pPr>
    <w:rPr>
      <w:bCs/>
      <w:color w:val="35383F" w:themeColor="text2"/>
      <w:sz w:val="15"/>
    </w:rPr>
  </w:style>
  <w:style w:type="paragraph" w:customStyle="1" w:styleId="PageSubtitle">
    <w:name w:val="PageSubtitle"/>
    <w:uiPriority w:val="2"/>
    <w:qFormat/>
    <w:rsid w:val="00F65A32"/>
    <w:pPr>
      <w:spacing w:after="360" w:line="276" w:lineRule="auto"/>
    </w:pPr>
    <w:rPr>
      <w:rFonts w:cs="Times New Roman (Body CS)"/>
      <w:color w:val="35383F" w:themeColor="text2"/>
      <w:sz w:val="32"/>
    </w:rPr>
  </w:style>
  <w:style w:type="paragraph" w:customStyle="1" w:styleId="BodyCopy">
    <w:name w:val="BodyCopy"/>
    <w:uiPriority w:val="99"/>
    <w:semiHidden/>
    <w:qFormat/>
    <w:rsid w:val="00F65A32"/>
    <w:pPr>
      <w:spacing w:before="80" w:after="240" w:line="324" w:lineRule="auto"/>
    </w:pPr>
    <w:rPr>
      <w:rFonts w:cs="Times New Roman (Body CS)"/>
      <w:color w:val="35383F" w:themeColor="text2"/>
    </w:rPr>
  </w:style>
  <w:style w:type="paragraph" w:customStyle="1" w:styleId="S-RMQuote">
    <w:name w:val="S-RM Quote"/>
    <w:uiPriority w:val="1"/>
    <w:qFormat/>
    <w:rsid w:val="00F65A32"/>
    <w:pPr>
      <w:spacing w:before="300" w:after="300" w:line="276" w:lineRule="auto"/>
    </w:pPr>
    <w:rPr>
      <w:b/>
      <w:caps/>
      <w:color w:val="FE5F01" w:themeColor="accent1"/>
      <w:sz w:val="22"/>
    </w:rPr>
  </w:style>
  <w:style w:type="paragraph" w:customStyle="1" w:styleId="S-RMQuoteAttribute">
    <w:name w:val="S-RM QuoteAttribute"/>
    <w:uiPriority w:val="1"/>
    <w:qFormat/>
    <w:rsid w:val="00F65A32"/>
    <w:pPr>
      <w:spacing w:before="160" w:after="0" w:line="276" w:lineRule="auto"/>
    </w:pPr>
    <w:rPr>
      <w:i/>
      <w:color w:val="FE5F01" w:themeColor="accent1"/>
      <w:sz w:val="20"/>
    </w:rPr>
  </w:style>
  <w:style w:type="table" w:styleId="TableGrid">
    <w:name w:val="Table Grid"/>
    <w:basedOn w:val="TableNormal"/>
    <w:uiPriority w:val="59"/>
    <w:rsid w:val="00F65A32"/>
    <w:pPr>
      <w:spacing w:after="0" w:line="240" w:lineRule="auto"/>
    </w:pPr>
    <w:rPr>
      <w:rFonts w:ascii="Trebuchet MS" w:eastAsiaTheme="minorHAnsi" w:hAnsi="Trebuchet MS" w:cs="Verdan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Title"/>
    <w:link w:val="CoverTitleChar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35383F" w:themeColor="accent3"/>
      <w:sz w:val="48"/>
      <w:szCs w:val="86"/>
      <w:shd w:val="clear" w:color="auto" w:fill="FFFFFF" w:themeFill="background1"/>
    </w:rPr>
  </w:style>
  <w:style w:type="paragraph" w:customStyle="1" w:styleId="CoverDate">
    <w:name w:val="CoverDate"/>
    <w:link w:val="CoverDateChar"/>
    <w:uiPriority w:val="2"/>
    <w:qFormat/>
    <w:rsid w:val="00F65A32"/>
    <w:pPr>
      <w:spacing w:after="0" w:line="240" w:lineRule="auto"/>
    </w:pPr>
    <w:rPr>
      <w:color w:val="35383F" w:themeColor="text2"/>
      <w:sz w:val="24"/>
      <w:szCs w:val="42"/>
    </w:rPr>
  </w:style>
  <w:style w:type="paragraph" w:customStyle="1" w:styleId="CoverTitleWhiteBlack">
    <w:name w:val="CoverTitleWhite/Black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FFFFFF" w:themeColor="background1"/>
      <w:sz w:val="72"/>
      <w:szCs w:val="86"/>
      <w:shd w:val="clear" w:color="auto" w:fill="000000" w:themeFill="text1"/>
    </w:rPr>
  </w:style>
  <w:style w:type="paragraph" w:customStyle="1" w:styleId="FigureimageTableCaption">
    <w:name w:val="Figure/image/Table Caption"/>
    <w:uiPriority w:val="3"/>
    <w:qFormat/>
    <w:rsid w:val="00F65A32"/>
    <w:pPr>
      <w:keepNext/>
      <w:pBdr>
        <w:top w:val="single" w:sz="4" w:space="4" w:color="FE5F01" w:themeColor="accent1"/>
      </w:pBdr>
      <w:spacing w:before="360" w:after="240" w:line="276" w:lineRule="auto"/>
    </w:pPr>
    <w:rPr>
      <w:i/>
      <w:color w:val="FE5F01" w:themeColor="accent1"/>
    </w:rPr>
  </w:style>
  <w:style w:type="paragraph" w:customStyle="1" w:styleId="CoverTItleWhiteOrange">
    <w:name w:val="CoverTItleWhite/Orange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FFFFFF" w:themeColor="background1"/>
      <w:sz w:val="48"/>
      <w:szCs w:val="86"/>
      <w:shd w:val="clear" w:color="auto" w:fill="FE5F01" w:themeFill="accent1"/>
    </w:rPr>
  </w:style>
  <w:style w:type="table" w:customStyle="1" w:styleId="S-RM">
    <w:name w:val="S-RM"/>
    <w:basedOn w:val="TableNormal"/>
    <w:uiPriority w:val="99"/>
    <w:rsid w:val="00F65A32"/>
    <w:pPr>
      <w:spacing w:after="0" w:line="240" w:lineRule="auto"/>
    </w:pPr>
    <w:tblPr/>
    <w:tcPr>
      <w:shd w:val="clear" w:color="auto" w:fill="auto"/>
    </w:tcPr>
    <w:tblStylePr w:type="firstRow">
      <w:rPr>
        <w:b/>
        <w:color w:val="FFFFFF" w:themeColor="background2"/>
        <w:sz w:val="18"/>
      </w:rPr>
      <w:tblPr/>
      <w:tcPr>
        <w:shd w:val="clear" w:color="auto" w:fill="FE5F01" w:themeFill="accent1"/>
      </w:tcPr>
    </w:tblStylePr>
    <w:tblStylePr w:type="lastRow">
      <w:rPr>
        <w:b/>
        <w:sz w:val="18"/>
      </w:rPr>
      <w:tblPr/>
      <w:tcPr>
        <w:shd w:val="clear" w:color="auto" w:fill="FEDECC" w:themeFill="accent1" w:themeFillTint="33"/>
      </w:tcPr>
    </w:tblStylePr>
  </w:style>
  <w:style w:type="paragraph" w:customStyle="1" w:styleId="TableText">
    <w:name w:val="TableText"/>
    <w:basedOn w:val="BodyCopy"/>
    <w:uiPriority w:val="1"/>
    <w:qFormat/>
    <w:rsid w:val="00F65A32"/>
    <w:pPr>
      <w:spacing w:after="80"/>
      <w:ind w:left="113" w:right="113"/>
    </w:pPr>
  </w:style>
  <w:style w:type="paragraph" w:customStyle="1" w:styleId="TableFigureImageSource">
    <w:name w:val="Table/Figure/ImageSource"/>
    <w:uiPriority w:val="2"/>
    <w:qFormat/>
    <w:rsid w:val="00F65A32"/>
    <w:pPr>
      <w:pBdr>
        <w:bottom w:val="single" w:sz="2" w:space="1" w:color="auto"/>
      </w:pBdr>
      <w:spacing w:before="80" w:after="0" w:line="240" w:lineRule="auto"/>
    </w:pPr>
    <w:rPr>
      <w:i/>
      <w:color w:val="35383F" w:themeColor="accent3"/>
    </w:rPr>
  </w:style>
  <w:style w:type="paragraph" w:customStyle="1" w:styleId="TableColHead">
    <w:name w:val="TableColHead"/>
    <w:uiPriority w:val="1"/>
    <w:qFormat/>
    <w:rsid w:val="00F65A32"/>
    <w:pPr>
      <w:spacing w:before="80" w:after="80" w:line="240" w:lineRule="auto"/>
      <w:ind w:left="113" w:right="113"/>
    </w:pPr>
    <w:rPr>
      <w:rFonts w:cs="Times New Roman (Body CS)"/>
      <w:b/>
      <w:color w:val="FFFFFF" w:themeColor="background1"/>
    </w:rPr>
  </w:style>
  <w:style w:type="table" w:styleId="TableGridLight">
    <w:name w:val="Grid Table Light"/>
    <w:basedOn w:val="TableNormal"/>
    <w:uiPriority w:val="40"/>
    <w:rsid w:val="00F65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verFooter">
    <w:name w:val="CoverFooter"/>
    <w:basedOn w:val="FooterText"/>
    <w:uiPriority w:val="2"/>
    <w:qFormat/>
    <w:rsid w:val="00F65A32"/>
    <w:pPr>
      <w:jc w:val="center"/>
    </w:pPr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65A32"/>
    <w:rPr>
      <w:rFonts w:eastAsiaTheme="majorEastAsia" w:cs="Times New Roman (Headings CS)"/>
      <w:b/>
      <w:color w:val="35383F" w:themeColor="text2"/>
      <w:sz w:val="32"/>
      <w:szCs w:val="32"/>
    </w:rPr>
  </w:style>
  <w:style w:type="paragraph" w:styleId="TOC1">
    <w:name w:val="toc 1"/>
    <w:basedOn w:val="Normal"/>
    <w:next w:val="Normal"/>
    <w:uiPriority w:val="39"/>
    <w:rsid w:val="00F65A32"/>
    <w:pPr>
      <w:tabs>
        <w:tab w:val="right" w:leader="dot" w:pos="7938"/>
      </w:tabs>
      <w:spacing w:after="80"/>
      <w:ind w:left="397" w:right="1985" w:hanging="397"/>
    </w:pPr>
  </w:style>
  <w:style w:type="character" w:customStyle="1" w:styleId="Heading2Char">
    <w:name w:val="Heading 2 Char"/>
    <w:basedOn w:val="DefaultParagraphFont"/>
    <w:link w:val="Heading2"/>
    <w:uiPriority w:val="9"/>
    <w:rsid w:val="00F65A32"/>
    <w:rPr>
      <w:rFonts w:cs="Times New Roman (Body CS)"/>
      <w:b/>
      <w:color w:val="35383F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5A32"/>
    <w:rPr>
      <w:rFonts w:eastAsiaTheme="majorEastAsia" w:cstheme="majorBidi"/>
      <w:b/>
      <w:color w:val="35383F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65A32"/>
    <w:rPr>
      <w:rFonts w:eastAsiaTheme="majorEastAsia" w:cstheme="majorBidi"/>
      <w:b/>
      <w:iCs/>
      <w:color w:val="35383F" w:themeColor="text2"/>
      <w:sz w:val="20"/>
    </w:rPr>
  </w:style>
  <w:style w:type="paragraph" w:styleId="TOCHeading">
    <w:name w:val="TOC Heading"/>
    <w:basedOn w:val="Normal"/>
    <w:next w:val="Normal"/>
    <w:uiPriority w:val="39"/>
    <w:qFormat/>
    <w:rsid w:val="00F65A32"/>
    <w:rPr>
      <w:b/>
      <w:sz w:val="32"/>
    </w:rPr>
  </w:style>
  <w:style w:type="paragraph" w:styleId="TOC2">
    <w:name w:val="toc 2"/>
    <w:basedOn w:val="Normal"/>
    <w:next w:val="Normal"/>
    <w:autoRedefine/>
    <w:uiPriority w:val="39"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3">
    <w:name w:val="toc 3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4">
    <w:name w:val="toc 4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ListBullet">
    <w:name w:val="List Bullet"/>
    <w:basedOn w:val="Normal"/>
    <w:uiPriority w:val="99"/>
    <w:qFormat/>
    <w:rsid w:val="00F65A32"/>
    <w:pPr>
      <w:numPr>
        <w:numId w:val="13"/>
      </w:numPr>
      <w:contextualSpacing/>
    </w:pPr>
  </w:style>
  <w:style w:type="paragraph" w:styleId="ListNumber">
    <w:name w:val="List Number"/>
    <w:basedOn w:val="Normal"/>
    <w:autoRedefine/>
    <w:uiPriority w:val="1"/>
    <w:qFormat/>
    <w:rsid w:val="00F65A32"/>
    <w:pPr>
      <w:numPr>
        <w:numId w:val="18"/>
      </w:numPr>
      <w:spacing w:line="276" w:lineRule="auto"/>
      <w:contextualSpacing/>
      <w:jc w:val="both"/>
    </w:pPr>
  </w:style>
  <w:style w:type="paragraph" w:customStyle="1" w:styleId="BUSINESSINTELLIGENCE">
    <w:name w:val="BUSINESS INTELLIGENCE"/>
    <w:basedOn w:val="Footer"/>
    <w:uiPriority w:val="9"/>
    <w:qFormat/>
    <w:rsid w:val="00F65A32"/>
    <w:pPr>
      <w:jc w:val="right"/>
    </w:pPr>
    <w:rPr>
      <w:caps/>
      <w:color w:val="808080" w:themeColor="accent4"/>
      <w:sz w:val="13"/>
    </w:rPr>
  </w:style>
  <w:style w:type="character" w:customStyle="1" w:styleId="Heading5Char">
    <w:name w:val="Heading 5 Char"/>
    <w:basedOn w:val="DefaultParagraphFont"/>
    <w:link w:val="Heading5"/>
    <w:uiPriority w:val="9"/>
    <w:rsid w:val="00F65A32"/>
    <w:rPr>
      <w:rFonts w:asciiTheme="majorHAnsi" w:eastAsiaTheme="majorEastAsia" w:hAnsiTheme="majorHAnsi" w:cstheme="majorBidi"/>
      <w:color w:val="BE46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F65A32"/>
    <w:rPr>
      <w:rFonts w:asciiTheme="majorHAnsi" w:eastAsiaTheme="majorEastAsia" w:hAnsiTheme="majorHAnsi" w:cstheme="majorBidi"/>
      <w:color w:val="7E2E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65A32"/>
    <w:rPr>
      <w:rFonts w:asciiTheme="majorHAnsi" w:eastAsiaTheme="majorEastAsia" w:hAnsiTheme="majorHAnsi" w:cstheme="majorBidi"/>
      <w:i/>
      <w:iCs/>
      <w:color w:val="7E2E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F65A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F65A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"/>
    <w:qFormat/>
    <w:rsid w:val="00F65A32"/>
    <w:pPr>
      <w:pBdr>
        <w:bottom w:val="single" w:sz="2" w:space="1" w:color="auto"/>
      </w:pBdr>
      <w:spacing w:before="120" w:after="720" w:line="276" w:lineRule="auto"/>
    </w:pPr>
    <w:rPr>
      <w:i/>
      <w:iCs/>
      <w:color w:val="808080" w:themeColor="accent4"/>
    </w:rPr>
  </w:style>
  <w:style w:type="table" w:customStyle="1" w:styleId="SRM-Table">
    <w:name w:val="SRM - Table"/>
    <w:basedOn w:val="TableNormal"/>
    <w:uiPriority w:val="99"/>
    <w:rsid w:val="00F65A32"/>
    <w:pPr>
      <w:spacing w:before="40" w:after="40" w:line="240" w:lineRule="auto"/>
      <w:ind w:left="113" w:right="113"/>
    </w:pPr>
    <w:tblPr>
      <w:tblBorders>
        <w:top w:val="single" w:sz="4" w:space="0" w:color="35383F" w:themeColor="accent3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  <w:insideH w:val="single" w:sz="4" w:space="0" w:color="35383F" w:themeColor="accent3"/>
        <w:insideV w:val="single" w:sz="4" w:space="0" w:color="35383F" w:themeColor="accent3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35383F" w:themeFill="text2"/>
      </w:tcPr>
    </w:tblStylePr>
    <w:tblStylePr w:type="lastRow">
      <w:tblPr/>
      <w:tcPr>
        <w:shd w:val="clear" w:color="auto" w:fill="808080"/>
      </w:tcPr>
    </w:tblStylePr>
  </w:style>
  <w:style w:type="paragraph" w:styleId="TOC6">
    <w:name w:val="toc 6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before="360" w:after="120"/>
      <w:ind w:left="397" w:right="1985" w:hanging="397"/>
    </w:pPr>
    <w:rPr>
      <w:b/>
      <w:caps/>
    </w:rPr>
  </w:style>
  <w:style w:type="paragraph" w:styleId="BalloonText">
    <w:name w:val="Balloon Text"/>
    <w:basedOn w:val="BodyCopy"/>
    <w:link w:val="BalloonTextChar"/>
    <w:uiPriority w:val="99"/>
    <w:semiHidden/>
    <w:unhideWhenUsed/>
    <w:rsid w:val="00F65A32"/>
    <w:rPr>
      <w:rFonts w:asciiTheme="minorHAnsi" w:hAnsiTheme="minorHAns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32"/>
    <w:rPr>
      <w:rFonts w:asciiTheme="minorHAnsi" w:hAnsiTheme="minorHAnsi" w:cs="Segoe UI"/>
      <w:color w:val="35383F" w:themeColor="text2"/>
    </w:rPr>
  </w:style>
  <w:style w:type="paragraph" w:styleId="TOC7">
    <w:name w:val="toc 7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8">
    <w:name w:val="toc 8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9">
    <w:name w:val="toc 9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ListContinue">
    <w:name w:val="List Continue"/>
    <w:basedOn w:val="Normal"/>
    <w:autoRedefine/>
    <w:uiPriority w:val="3"/>
    <w:semiHidden/>
    <w:qFormat/>
    <w:rsid w:val="00616836"/>
    <w:pPr>
      <w:numPr>
        <w:numId w:val="11"/>
      </w:numPr>
      <w:spacing w:before="360" w:after="120"/>
      <w:contextualSpacing/>
      <w:jc w:val="both"/>
    </w:pPr>
  </w:style>
  <w:style w:type="paragraph" w:styleId="Bibliography">
    <w:name w:val="Bibliography"/>
    <w:basedOn w:val="Normal"/>
    <w:next w:val="Normal"/>
    <w:uiPriority w:val="37"/>
    <w:semiHidden/>
    <w:unhideWhenUsed/>
    <w:rsid w:val="00F65A32"/>
  </w:style>
  <w:style w:type="paragraph" w:styleId="BlockText">
    <w:name w:val="Block Text"/>
    <w:basedOn w:val="Normal"/>
    <w:uiPriority w:val="99"/>
    <w:semiHidden/>
    <w:unhideWhenUsed/>
    <w:rsid w:val="00F65A32"/>
    <w:pPr>
      <w:pBdr>
        <w:top w:val="single" w:sz="2" w:space="10" w:color="FE5F01" w:themeColor="accent1"/>
        <w:left w:val="single" w:sz="2" w:space="10" w:color="FE5F01" w:themeColor="accent1"/>
        <w:bottom w:val="single" w:sz="2" w:space="10" w:color="FE5F01" w:themeColor="accent1"/>
        <w:right w:val="single" w:sz="2" w:space="10" w:color="FE5F01" w:themeColor="accent1"/>
      </w:pBdr>
      <w:ind w:left="1152" w:right="1152"/>
    </w:pPr>
    <w:rPr>
      <w:rFonts w:asciiTheme="minorHAnsi" w:hAnsiTheme="minorHAnsi"/>
      <w:i/>
      <w:iCs/>
      <w:color w:val="FE5F01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65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5A32"/>
    <w:rPr>
      <w:rFonts w:cs="Times New Roman (Body CS)"/>
      <w:color w:val="35383F" w:themeColor="tex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5A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5A32"/>
    <w:rPr>
      <w:rFonts w:cs="Times New Roman (Body CS)"/>
      <w:color w:val="35383F" w:themeColor="tex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5A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5A32"/>
    <w:rPr>
      <w:rFonts w:cs="Times New Roman (Body CS)"/>
      <w:color w:val="35383F" w:themeColor="text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5A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5A3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5A32"/>
    <w:rPr>
      <w:rFonts w:cs="Times New Roman (Body CS)"/>
      <w:color w:val="35383F" w:themeColor="tex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5A3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5A3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5A3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5A32"/>
    <w:rPr>
      <w:rFonts w:cs="Times New Roman (Body CS)"/>
      <w:color w:val="35383F" w:themeColor="text2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F65A32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F65A3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5A32"/>
    <w:rPr>
      <w:rFonts w:cs="Times New Roman (Body CS)"/>
      <w:color w:val="35383F" w:themeColor="text2"/>
    </w:rPr>
  </w:style>
  <w:style w:type="table" w:styleId="ColorfulGrid">
    <w:name w:val="Colorful Grid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DECC" w:themeFill="accent1" w:themeFillTint="33"/>
    </w:tcPr>
    <w:tblStylePr w:type="firstRow">
      <w:rPr>
        <w:b/>
        <w:bCs/>
      </w:rPr>
      <w:tblPr/>
      <w:tcPr>
        <w:shd w:val="clear" w:color="auto" w:fill="FEBE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BE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E46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E4600" w:themeFill="accent1" w:themeFillShade="BF"/>
      </w:tc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shd w:val="clear" w:color="auto" w:fill="FEAE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1D1" w:themeFill="accent2" w:themeFillTint="33"/>
    </w:tcPr>
    <w:tblStylePr w:type="firstRow">
      <w:rPr>
        <w:b/>
        <w:bCs/>
      </w:rPr>
      <w:tblPr/>
      <w:tcPr>
        <w:shd w:val="clear" w:color="auto" w:fill="FCA4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A4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609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60906" w:themeFill="accent2" w:themeFillShade="BF"/>
      </w:tc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shd w:val="clear" w:color="auto" w:fill="FB8E8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6DB" w:themeFill="accent3" w:themeFillTint="33"/>
    </w:tcPr>
    <w:tblStylePr w:type="firstRow">
      <w:rPr>
        <w:b/>
        <w:bCs/>
      </w:rPr>
      <w:tblPr/>
      <w:tcPr>
        <w:shd w:val="clear" w:color="auto" w:fill="A9ADB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ADB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7292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7292F" w:themeFill="accent3" w:themeFillShade="BF"/>
      </w:tc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</w:tcPr>
    <w:tblStylePr w:type="firstRow">
      <w:rPr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6" w:themeFillTint="33"/>
    </w:tcPr>
    <w:tblStylePr w:type="firstRow">
      <w:rPr>
        <w:b/>
        <w:bCs/>
      </w:rPr>
      <w:tblPr/>
      <w:tcPr>
        <w:shd w:val="clear" w:color="auto" w:fill="F4F4F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F4F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BABAB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BABAB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F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8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A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A2C32" w:themeFill="accent3" w:themeFillShade="CC"/>
      </w:tcPr>
    </w:tblStylePr>
    <w:tblStylePr w:type="lastRow">
      <w:rPr>
        <w:b/>
        <w:bCs/>
        <w:color w:val="2A2C3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B7B7" w:themeFill="accent6" w:themeFillShade="CC"/>
      </w:tcPr>
    </w:tblStylePr>
    <w:tblStylePr w:type="lastRow">
      <w:rPr>
        <w:b/>
        <w:bCs/>
        <w:color w:val="B7B7B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9898" w:themeFill="accent5" w:themeFillShade="CC"/>
      </w:tcPr>
    </w:tblStylePr>
    <w:tblStylePr w:type="lastRow">
      <w:rPr>
        <w:b/>
        <w:bCs/>
        <w:color w:val="98989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FE5F01" w:themeColor="accent1"/>
        <w:bottom w:val="single" w:sz="4" w:space="0" w:color="FE5F01" w:themeColor="accent1"/>
        <w:right w:val="single" w:sz="4" w:space="0" w:color="FE5F0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F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38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3800" w:themeColor="accent1" w:themeShade="99"/>
          <w:insideV w:val="nil"/>
        </w:tcBorders>
        <w:shd w:val="clear" w:color="auto" w:fill="9838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3800" w:themeFill="accent1" w:themeFillShade="99"/>
      </w:tcPr>
    </w:tblStylePr>
    <w:tblStylePr w:type="band1Vert">
      <w:tblPr/>
      <w:tcPr>
        <w:shd w:val="clear" w:color="auto" w:fill="FEBE99" w:themeFill="accent1" w:themeFillTint="66"/>
      </w:tcPr>
    </w:tblStylePr>
    <w:tblStylePr w:type="band1Horz">
      <w:tblPr/>
      <w:tcPr>
        <w:shd w:val="clear" w:color="auto" w:fill="FEAE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F81F1A" w:themeColor="accent2"/>
        <w:bottom w:val="single" w:sz="4" w:space="0" w:color="F81F1A" w:themeColor="accent2"/>
        <w:right w:val="single" w:sz="4" w:space="0" w:color="F81F1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8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080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0805" w:themeColor="accent2" w:themeShade="99"/>
          <w:insideV w:val="nil"/>
        </w:tcBorders>
        <w:shd w:val="clear" w:color="auto" w:fill="9F080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0805" w:themeFill="accent2" w:themeFillShade="99"/>
      </w:tcPr>
    </w:tblStylePr>
    <w:tblStylePr w:type="band1Vert">
      <w:tblPr/>
      <w:tcPr>
        <w:shd w:val="clear" w:color="auto" w:fill="FCA4A3" w:themeFill="accent2" w:themeFillTint="66"/>
      </w:tcPr>
    </w:tblStylePr>
    <w:tblStylePr w:type="band1Horz">
      <w:tblPr/>
      <w:tcPr>
        <w:shd w:val="clear" w:color="auto" w:fill="FB8E8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212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2125" w:themeColor="accent3" w:themeShade="99"/>
          <w:insideV w:val="nil"/>
        </w:tcBorders>
        <w:shd w:val="clear" w:color="auto" w:fill="1F212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2125" w:themeFill="accent3" w:themeFillShade="99"/>
      </w:tcPr>
    </w:tblStylePr>
    <w:tblStylePr w:type="band1Vert">
      <w:tblPr/>
      <w:tcPr>
        <w:shd w:val="clear" w:color="auto" w:fill="A9ADB7" w:themeFill="accent3" w:themeFillTint="66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5383F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538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5E5E5" w:themeColor="accent6"/>
        <w:left w:val="single" w:sz="4" w:space="0" w:color="BFBFBF" w:themeColor="accent5"/>
        <w:bottom w:val="single" w:sz="4" w:space="0" w:color="BFBFBF" w:themeColor="accent5"/>
        <w:right w:val="single" w:sz="4" w:space="0" w:color="BFBFB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E5E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7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7272" w:themeColor="accent5" w:themeShade="99"/>
          <w:insideV w:val="nil"/>
        </w:tcBorders>
        <w:shd w:val="clear" w:color="auto" w:fill="727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FBF" w:themeColor="accent5"/>
        <w:left w:val="single" w:sz="4" w:space="0" w:color="E5E5E5" w:themeColor="accent6"/>
        <w:bottom w:val="single" w:sz="4" w:space="0" w:color="E5E5E5" w:themeColor="accent6"/>
        <w:right w:val="single" w:sz="4" w:space="0" w:color="E5E5E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FB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898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8989" w:themeColor="accent6" w:themeShade="99"/>
          <w:insideV w:val="nil"/>
        </w:tcBorders>
        <w:shd w:val="clear" w:color="auto" w:fill="89898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8989" w:themeFill="accent6" w:themeFillShade="99"/>
      </w:tcPr>
    </w:tblStylePr>
    <w:tblStylePr w:type="band1Vert">
      <w:tblPr/>
      <w:tcPr>
        <w:shd w:val="clear" w:color="auto" w:fill="F4F4F4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F65A3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F65A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A32"/>
    <w:rPr>
      <w:rFonts w:cs="Times New Roman (Body CS)"/>
      <w:color w:val="35383F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A32"/>
    <w:rPr>
      <w:rFonts w:cs="Times New Roman (Body CS)"/>
      <w:b/>
      <w:bCs/>
      <w:color w:val="35383F" w:themeColor="text2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5F0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2E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46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81F1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06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609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538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1B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292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FB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5E5E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BA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5A32"/>
  </w:style>
  <w:style w:type="character" w:customStyle="1" w:styleId="DateChar">
    <w:name w:val="Date Char"/>
    <w:basedOn w:val="DefaultParagraphFont"/>
    <w:link w:val="Date"/>
    <w:uiPriority w:val="99"/>
    <w:semiHidden/>
    <w:rsid w:val="00F65A32"/>
    <w:rPr>
      <w:rFonts w:cs="Times New Roman (Body CS)"/>
      <w:color w:val="35383F" w:themeColor="tex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5A3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5A32"/>
    <w:rPr>
      <w:rFonts w:ascii="Segoe UI" w:hAnsi="Segoe UI" w:cs="Segoe UI"/>
      <w:color w:val="35383F" w:themeColor="text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5A3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5A32"/>
    <w:rPr>
      <w:rFonts w:cs="Times New Roman (Body CS)"/>
      <w:color w:val="35383F" w:themeColor="text2"/>
    </w:rPr>
  </w:style>
  <w:style w:type="character" w:styleId="Emphasis">
    <w:name w:val="Emphasis"/>
    <w:basedOn w:val="DefaultParagraphFont"/>
    <w:uiPriority w:val="20"/>
    <w:semiHidden/>
    <w:qFormat/>
    <w:rsid w:val="00F65A3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65A3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5A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5A32"/>
    <w:rPr>
      <w:rFonts w:cs="Times New Roman (Body CS)"/>
      <w:color w:val="35383F" w:themeColor="text2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5A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5A3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5A32"/>
    <w:rPr>
      <w:color w:val="35383F" w:themeColor="followedHyperlink"/>
      <w:u w:val="single"/>
      <w:lang w:val="en-GB"/>
    </w:rPr>
  </w:style>
  <w:style w:type="character" w:styleId="FootnoteReference">
    <w:name w:val="footnote reference"/>
    <w:basedOn w:val="FootnoteTextChar"/>
    <w:uiPriority w:val="99"/>
    <w:semiHidden/>
    <w:rsid w:val="00F65A32"/>
    <w:rPr>
      <w:rFonts w:asciiTheme="minorHAnsi" w:hAnsiTheme="minorHAnsi" w:cs="Times New Roman (Body CS)"/>
      <w:color w:val="35383F" w:themeColor="text2"/>
      <w:sz w:val="15"/>
      <w:szCs w:val="20"/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F65A32"/>
    <w:pPr>
      <w:spacing w:after="80" w:line="240" w:lineRule="auto"/>
    </w:pPr>
    <w:rPr>
      <w:sz w:val="15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5A32"/>
    <w:rPr>
      <w:rFonts w:cs="Times New Roman (Body CS)"/>
      <w:color w:val="35383F" w:themeColor="text2"/>
      <w:sz w:val="15"/>
      <w:szCs w:val="20"/>
    </w:rPr>
  </w:style>
  <w:style w:type="table" w:styleId="GridTable1Light">
    <w:name w:val="Grid Table 1 Light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BE99" w:themeColor="accent1" w:themeTint="66"/>
        <w:left w:val="single" w:sz="4" w:space="0" w:color="FEBE99" w:themeColor="accent1" w:themeTint="66"/>
        <w:bottom w:val="single" w:sz="4" w:space="0" w:color="FEBE99" w:themeColor="accent1" w:themeTint="66"/>
        <w:right w:val="single" w:sz="4" w:space="0" w:color="FEBE99" w:themeColor="accent1" w:themeTint="66"/>
        <w:insideH w:val="single" w:sz="4" w:space="0" w:color="FEBE99" w:themeColor="accent1" w:themeTint="66"/>
        <w:insideV w:val="single" w:sz="4" w:space="0" w:color="FEBE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CA4A3" w:themeColor="accent2" w:themeTint="66"/>
        <w:left w:val="single" w:sz="4" w:space="0" w:color="FCA4A3" w:themeColor="accent2" w:themeTint="66"/>
        <w:bottom w:val="single" w:sz="4" w:space="0" w:color="FCA4A3" w:themeColor="accent2" w:themeTint="66"/>
        <w:right w:val="single" w:sz="4" w:space="0" w:color="FCA4A3" w:themeColor="accent2" w:themeTint="66"/>
        <w:insideH w:val="single" w:sz="4" w:space="0" w:color="FCA4A3" w:themeColor="accent2" w:themeTint="66"/>
        <w:insideV w:val="single" w:sz="4" w:space="0" w:color="FCA4A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A9ADB7" w:themeColor="accent3" w:themeTint="66"/>
        <w:left w:val="single" w:sz="4" w:space="0" w:color="A9ADB7" w:themeColor="accent3" w:themeTint="66"/>
        <w:bottom w:val="single" w:sz="4" w:space="0" w:color="A9ADB7" w:themeColor="accent3" w:themeTint="66"/>
        <w:right w:val="single" w:sz="4" w:space="0" w:color="A9ADB7" w:themeColor="accent3" w:themeTint="66"/>
        <w:insideH w:val="single" w:sz="4" w:space="0" w:color="A9ADB7" w:themeColor="accent3" w:themeTint="66"/>
        <w:insideV w:val="single" w:sz="4" w:space="0" w:color="A9ADB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5E5E5" w:themeColor="accent5" w:themeTint="66"/>
        <w:left w:val="single" w:sz="4" w:space="0" w:color="E5E5E5" w:themeColor="accent5" w:themeTint="66"/>
        <w:bottom w:val="single" w:sz="4" w:space="0" w:color="E5E5E5" w:themeColor="accent5" w:themeTint="66"/>
        <w:right w:val="single" w:sz="4" w:space="0" w:color="E5E5E5" w:themeColor="accent5" w:themeTint="66"/>
        <w:insideH w:val="single" w:sz="4" w:space="0" w:color="E5E5E5" w:themeColor="accent5" w:themeTint="66"/>
        <w:insideV w:val="single" w:sz="4" w:space="0" w:color="E5E5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6" w:themeTint="66"/>
        <w:left w:val="single" w:sz="4" w:space="0" w:color="F4F4F4" w:themeColor="accent6" w:themeTint="66"/>
        <w:bottom w:val="single" w:sz="4" w:space="0" w:color="F4F4F4" w:themeColor="accent6" w:themeTint="66"/>
        <w:right w:val="single" w:sz="4" w:space="0" w:color="F4F4F4" w:themeColor="accent6" w:themeTint="66"/>
        <w:insideH w:val="single" w:sz="4" w:space="0" w:color="F4F4F4" w:themeColor="accent6" w:themeTint="66"/>
        <w:insideV w:val="single" w:sz="4" w:space="0" w:color="F4F4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FE9E66" w:themeColor="accent1" w:themeTint="99"/>
        <w:bottom w:val="single" w:sz="2" w:space="0" w:color="FE9E66" w:themeColor="accent1" w:themeTint="99"/>
        <w:insideH w:val="single" w:sz="2" w:space="0" w:color="FE9E66" w:themeColor="accent1" w:themeTint="99"/>
        <w:insideV w:val="single" w:sz="2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9E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9E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FA7875" w:themeColor="accent2" w:themeTint="99"/>
        <w:bottom w:val="single" w:sz="2" w:space="0" w:color="FA7875" w:themeColor="accent2" w:themeTint="99"/>
        <w:insideH w:val="single" w:sz="2" w:space="0" w:color="FA7875" w:themeColor="accent2" w:themeTint="99"/>
        <w:insideV w:val="single" w:sz="2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787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787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7E8492" w:themeColor="accent3" w:themeTint="99"/>
        <w:bottom w:val="single" w:sz="2" w:space="0" w:color="7E8492" w:themeColor="accent3" w:themeTint="99"/>
        <w:insideH w:val="single" w:sz="2" w:space="0" w:color="7E8492" w:themeColor="accent3" w:themeTint="99"/>
        <w:insideV w:val="single" w:sz="2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84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84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D8D8D8" w:themeColor="accent5" w:themeTint="99"/>
        <w:bottom w:val="single" w:sz="2" w:space="0" w:color="D8D8D8" w:themeColor="accent5" w:themeTint="99"/>
        <w:insideH w:val="single" w:sz="2" w:space="0" w:color="D8D8D8" w:themeColor="accent5" w:themeTint="99"/>
        <w:insideV w:val="single" w:sz="2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8D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8D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EFEFEF" w:themeColor="accent6" w:themeTint="99"/>
        <w:bottom w:val="single" w:sz="2" w:space="0" w:color="EFEFEF" w:themeColor="accent6" w:themeTint="99"/>
        <w:insideH w:val="single" w:sz="2" w:space="0" w:color="EFEFEF" w:themeColor="accent6" w:themeTint="99"/>
        <w:insideV w:val="single" w:sz="2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EFE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EFE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3">
    <w:name w:val="Grid Table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bottom w:val="single" w:sz="4" w:space="0" w:color="FE9E66" w:themeColor="accent1" w:themeTint="99"/>
        </w:tcBorders>
      </w:tcPr>
    </w:tblStylePr>
    <w:tblStylePr w:type="nwCell">
      <w:tblPr/>
      <w:tcPr>
        <w:tcBorders>
          <w:bottom w:val="single" w:sz="4" w:space="0" w:color="FE9E66" w:themeColor="accent1" w:themeTint="99"/>
        </w:tcBorders>
      </w:tcPr>
    </w:tblStylePr>
    <w:tblStylePr w:type="seCell">
      <w:tblPr/>
      <w:tcPr>
        <w:tcBorders>
          <w:top w:val="single" w:sz="4" w:space="0" w:color="FE9E66" w:themeColor="accent1" w:themeTint="99"/>
        </w:tcBorders>
      </w:tcPr>
    </w:tblStylePr>
    <w:tblStylePr w:type="swCell">
      <w:tblPr/>
      <w:tcPr>
        <w:tcBorders>
          <w:top w:val="single" w:sz="4" w:space="0" w:color="FE9E6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bottom w:val="single" w:sz="4" w:space="0" w:color="FA7875" w:themeColor="accent2" w:themeTint="99"/>
        </w:tcBorders>
      </w:tcPr>
    </w:tblStylePr>
    <w:tblStylePr w:type="nwCell">
      <w:tblPr/>
      <w:tcPr>
        <w:tcBorders>
          <w:bottom w:val="single" w:sz="4" w:space="0" w:color="FA7875" w:themeColor="accent2" w:themeTint="99"/>
        </w:tcBorders>
      </w:tcPr>
    </w:tblStylePr>
    <w:tblStylePr w:type="seCell">
      <w:tblPr/>
      <w:tcPr>
        <w:tcBorders>
          <w:top w:val="single" w:sz="4" w:space="0" w:color="FA7875" w:themeColor="accent2" w:themeTint="99"/>
        </w:tcBorders>
      </w:tcPr>
    </w:tblStylePr>
    <w:tblStylePr w:type="swCell">
      <w:tblPr/>
      <w:tcPr>
        <w:tcBorders>
          <w:top w:val="single" w:sz="4" w:space="0" w:color="FA787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bottom w:val="single" w:sz="4" w:space="0" w:color="7E8492" w:themeColor="accent3" w:themeTint="99"/>
        </w:tcBorders>
      </w:tcPr>
    </w:tblStylePr>
    <w:tblStylePr w:type="nwCell">
      <w:tblPr/>
      <w:tcPr>
        <w:tcBorders>
          <w:bottom w:val="single" w:sz="4" w:space="0" w:color="7E8492" w:themeColor="accent3" w:themeTint="99"/>
        </w:tcBorders>
      </w:tcPr>
    </w:tblStylePr>
    <w:tblStylePr w:type="seCell">
      <w:tblPr/>
      <w:tcPr>
        <w:tcBorders>
          <w:top w:val="single" w:sz="4" w:space="0" w:color="7E8492" w:themeColor="accent3" w:themeTint="99"/>
        </w:tcBorders>
      </w:tcPr>
    </w:tblStylePr>
    <w:tblStylePr w:type="swCell">
      <w:tblPr/>
      <w:tcPr>
        <w:tcBorders>
          <w:top w:val="single" w:sz="4" w:space="0" w:color="7E8492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bottom w:val="single" w:sz="4" w:space="0" w:color="D8D8D8" w:themeColor="accent5" w:themeTint="99"/>
        </w:tcBorders>
      </w:tcPr>
    </w:tblStylePr>
    <w:tblStylePr w:type="nwCell">
      <w:tblPr/>
      <w:tcPr>
        <w:tcBorders>
          <w:bottom w:val="single" w:sz="4" w:space="0" w:color="D8D8D8" w:themeColor="accent5" w:themeTint="99"/>
        </w:tcBorders>
      </w:tcPr>
    </w:tblStylePr>
    <w:tblStylePr w:type="seCell">
      <w:tblPr/>
      <w:tcPr>
        <w:tcBorders>
          <w:top w:val="single" w:sz="4" w:space="0" w:color="D8D8D8" w:themeColor="accent5" w:themeTint="99"/>
        </w:tcBorders>
      </w:tcPr>
    </w:tblStylePr>
    <w:tblStylePr w:type="swCell">
      <w:tblPr/>
      <w:tcPr>
        <w:tcBorders>
          <w:top w:val="single" w:sz="4" w:space="0" w:color="D8D8D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bottom w:val="single" w:sz="4" w:space="0" w:color="EFEFEF" w:themeColor="accent6" w:themeTint="99"/>
        </w:tcBorders>
      </w:tcPr>
    </w:tblStylePr>
    <w:tblStylePr w:type="nwCell">
      <w:tblPr/>
      <w:tcPr>
        <w:tcBorders>
          <w:bottom w:val="single" w:sz="4" w:space="0" w:color="EFEFEF" w:themeColor="accent6" w:themeTint="99"/>
        </w:tcBorders>
      </w:tcPr>
    </w:tblStylePr>
    <w:tblStylePr w:type="seCell">
      <w:tblPr/>
      <w:tcPr>
        <w:tcBorders>
          <w:top w:val="single" w:sz="4" w:space="0" w:color="EFEFEF" w:themeColor="accent6" w:themeTint="99"/>
        </w:tcBorders>
      </w:tcPr>
    </w:tblStylePr>
    <w:tblStylePr w:type="swCell">
      <w:tblPr/>
      <w:tcPr>
        <w:tcBorders>
          <w:top w:val="single" w:sz="4" w:space="0" w:color="EFEFE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F01" w:themeColor="accent1"/>
          <w:left w:val="single" w:sz="4" w:space="0" w:color="FE5F01" w:themeColor="accent1"/>
          <w:bottom w:val="single" w:sz="4" w:space="0" w:color="FE5F01" w:themeColor="accent1"/>
          <w:right w:val="single" w:sz="4" w:space="0" w:color="FE5F01" w:themeColor="accent1"/>
          <w:insideH w:val="nil"/>
          <w:insideV w:val="nil"/>
        </w:tcBorders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1F1A" w:themeColor="accent2"/>
          <w:left w:val="single" w:sz="4" w:space="0" w:color="F81F1A" w:themeColor="accent2"/>
          <w:bottom w:val="single" w:sz="4" w:space="0" w:color="F81F1A" w:themeColor="accent2"/>
          <w:right w:val="single" w:sz="4" w:space="0" w:color="F81F1A" w:themeColor="accent2"/>
          <w:insideH w:val="nil"/>
          <w:insideV w:val="nil"/>
        </w:tcBorders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383F" w:themeColor="accent3"/>
          <w:left w:val="single" w:sz="4" w:space="0" w:color="35383F" w:themeColor="accent3"/>
          <w:bottom w:val="single" w:sz="4" w:space="0" w:color="35383F" w:themeColor="accent3"/>
          <w:right w:val="single" w:sz="4" w:space="0" w:color="35383F" w:themeColor="accent3"/>
          <w:insideH w:val="nil"/>
          <w:insideV w:val="nil"/>
        </w:tcBorders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FBF" w:themeColor="accent5"/>
          <w:left w:val="single" w:sz="4" w:space="0" w:color="BFBFBF" w:themeColor="accent5"/>
          <w:bottom w:val="single" w:sz="4" w:space="0" w:color="BFBFBF" w:themeColor="accent5"/>
          <w:right w:val="single" w:sz="4" w:space="0" w:color="BFBFBF" w:themeColor="accent5"/>
          <w:insideH w:val="nil"/>
          <w:insideV w:val="nil"/>
        </w:tcBorders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5E5" w:themeColor="accent6"/>
          <w:left w:val="single" w:sz="4" w:space="0" w:color="E5E5E5" w:themeColor="accent6"/>
          <w:bottom w:val="single" w:sz="4" w:space="0" w:color="E5E5E5" w:themeColor="accent6"/>
          <w:right w:val="single" w:sz="4" w:space="0" w:color="E5E5E5" w:themeColor="accent6"/>
          <w:insideH w:val="nil"/>
          <w:insideV w:val="nil"/>
        </w:tcBorders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E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5F0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5F01" w:themeFill="accent1"/>
      </w:tcPr>
    </w:tblStylePr>
    <w:tblStylePr w:type="band1Vert">
      <w:tblPr/>
      <w:tcPr>
        <w:shd w:val="clear" w:color="auto" w:fill="FEBE99" w:themeFill="accent1" w:themeFillTint="66"/>
      </w:tcPr>
    </w:tblStylePr>
    <w:tblStylePr w:type="band1Horz">
      <w:tblPr/>
      <w:tcPr>
        <w:shd w:val="clear" w:color="auto" w:fill="FEBE9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1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1F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1F1A" w:themeFill="accent2"/>
      </w:tcPr>
    </w:tblStylePr>
    <w:tblStylePr w:type="band1Vert">
      <w:tblPr/>
      <w:tcPr>
        <w:shd w:val="clear" w:color="auto" w:fill="FCA4A3" w:themeFill="accent2" w:themeFillTint="66"/>
      </w:tcPr>
    </w:tblStylePr>
    <w:tblStylePr w:type="band1Horz">
      <w:tblPr/>
      <w:tcPr>
        <w:shd w:val="clear" w:color="auto" w:fill="FCA4A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D6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538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5383F" w:themeFill="accent3"/>
      </w:tcPr>
    </w:tblStylePr>
    <w:tblStylePr w:type="band1Vert">
      <w:tblPr/>
      <w:tcPr>
        <w:shd w:val="clear" w:color="auto" w:fill="A9ADB7" w:themeFill="accent3" w:themeFillTint="66"/>
      </w:tcPr>
    </w:tblStylePr>
    <w:tblStylePr w:type="band1Horz">
      <w:tblPr/>
      <w:tcPr>
        <w:shd w:val="clear" w:color="auto" w:fill="A9ADB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FB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FBF" w:themeFill="accent5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E5E5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E5E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E5E5" w:themeFill="accent6"/>
      </w:tcPr>
    </w:tblStylePr>
    <w:tblStylePr w:type="band1Vert">
      <w:tblPr/>
      <w:tcPr>
        <w:shd w:val="clear" w:color="auto" w:fill="F4F4F4" w:themeFill="accent6" w:themeFillTint="66"/>
      </w:tcPr>
    </w:tblStylePr>
    <w:tblStylePr w:type="band1Horz">
      <w:tblPr/>
      <w:tcPr>
        <w:shd w:val="clear" w:color="auto" w:fill="F4F4F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bottom w:val="single" w:sz="4" w:space="0" w:color="FE9E66" w:themeColor="accent1" w:themeTint="99"/>
        </w:tcBorders>
      </w:tcPr>
    </w:tblStylePr>
    <w:tblStylePr w:type="nwCell">
      <w:tblPr/>
      <w:tcPr>
        <w:tcBorders>
          <w:bottom w:val="single" w:sz="4" w:space="0" w:color="FE9E66" w:themeColor="accent1" w:themeTint="99"/>
        </w:tcBorders>
      </w:tcPr>
    </w:tblStylePr>
    <w:tblStylePr w:type="seCell">
      <w:tblPr/>
      <w:tcPr>
        <w:tcBorders>
          <w:top w:val="single" w:sz="4" w:space="0" w:color="FE9E66" w:themeColor="accent1" w:themeTint="99"/>
        </w:tcBorders>
      </w:tcPr>
    </w:tblStylePr>
    <w:tblStylePr w:type="swCell">
      <w:tblPr/>
      <w:tcPr>
        <w:tcBorders>
          <w:top w:val="single" w:sz="4" w:space="0" w:color="FE9E6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bottom w:val="single" w:sz="4" w:space="0" w:color="FA7875" w:themeColor="accent2" w:themeTint="99"/>
        </w:tcBorders>
      </w:tcPr>
    </w:tblStylePr>
    <w:tblStylePr w:type="nwCell">
      <w:tblPr/>
      <w:tcPr>
        <w:tcBorders>
          <w:bottom w:val="single" w:sz="4" w:space="0" w:color="FA7875" w:themeColor="accent2" w:themeTint="99"/>
        </w:tcBorders>
      </w:tcPr>
    </w:tblStylePr>
    <w:tblStylePr w:type="seCell">
      <w:tblPr/>
      <w:tcPr>
        <w:tcBorders>
          <w:top w:val="single" w:sz="4" w:space="0" w:color="FA7875" w:themeColor="accent2" w:themeTint="99"/>
        </w:tcBorders>
      </w:tcPr>
    </w:tblStylePr>
    <w:tblStylePr w:type="swCell">
      <w:tblPr/>
      <w:tcPr>
        <w:tcBorders>
          <w:top w:val="single" w:sz="4" w:space="0" w:color="FA787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bottom w:val="single" w:sz="4" w:space="0" w:color="7E8492" w:themeColor="accent3" w:themeTint="99"/>
        </w:tcBorders>
      </w:tcPr>
    </w:tblStylePr>
    <w:tblStylePr w:type="nwCell">
      <w:tblPr/>
      <w:tcPr>
        <w:tcBorders>
          <w:bottom w:val="single" w:sz="4" w:space="0" w:color="7E8492" w:themeColor="accent3" w:themeTint="99"/>
        </w:tcBorders>
      </w:tcPr>
    </w:tblStylePr>
    <w:tblStylePr w:type="seCell">
      <w:tblPr/>
      <w:tcPr>
        <w:tcBorders>
          <w:top w:val="single" w:sz="4" w:space="0" w:color="7E8492" w:themeColor="accent3" w:themeTint="99"/>
        </w:tcBorders>
      </w:tcPr>
    </w:tblStylePr>
    <w:tblStylePr w:type="swCell">
      <w:tblPr/>
      <w:tcPr>
        <w:tcBorders>
          <w:top w:val="single" w:sz="4" w:space="0" w:color="7E8492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bottom w:val="single" w:sz="4" w:space="0" w:color="D8D8D8" w:themeColor="accent5" w:themeTint="99"/>
        </w:tcBorders>
      </w:tcPr>
    </w:tblStylePr>
    <w:tblStylePr w:type="nwCell">
      <w:tblPr/>
      <w:tcPr>
        <w:tcBorders>
          <w:bottom w:val="single" w:sz="4" w:space="0" w:color="D8D8D8" w:themeColor="accent5" w:themeTint="99"/>
        </w:tcBorders>
      </w:tcPr>
    </w:tblStylePr>
    <w:tblStylePr w:type="seCell">
      <w:tblPr/>
      <w:tcPr>
        <w:tcBorders>
          <w:top w:val="single" w:sz="4" w:space="0" w:color="D8D8D8" w:themeColor="accent5" w:themeTint="99"/>
        </w:tcBorders>
      </w:tcPr>
    </w:tblStylePr>
    <w:tblStylePr w:type="swCell">
      <w:tblPr/>
      <w:tcPr>
        <w:tcBorders>
          <w:top w:val="single" w:sz="4" w:space="0" w:color="D8D8D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bottom w:val="single" w:sz="4" w:space="0" w:color="EFEFEF" w:themeColor="accent6" w:themeTint="99"/>
        </w:tcBorders>
      </w:tcPr>
    </w:tblStylePr>
    <w:tblStylePr w:type="nwCell">
      <w:tblPr/>
      <w:tcPr>
        <w:tcBorders>
          <w:bottom w:val="single" w:sz="4" w:space="0" w:color="EFEFEF" w:themeColor="accent6" w:themeTint="99"/>
        </w:tcBorders>
      </w:tcPr>
    </w:tblStylePr>
    <w:tblStylePr w:type="seCell">
      <w:tblPr/>
      <w:tcPr>
        <w:tcBorders>
          <w:top w:val="single" w:sz="4" w:space="0" w:color="EFEFEF" w:themeColor="accent6" w:themeTint="99"/>
        </w:tcBorders>
      </w:tcPr>
    </w:tblStylePr>
    <w:tblStylePr w:type="swCell">
      <w:tblPr/>
      <w:tcPr>
        <w:tcBorders>
          <w:top w:val="single" w:sz="4" w:space="0" w:color="EFEFE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F65A3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65A3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5A32"/>
    <w:rPr>
      <w:rFonts w:cs="Times New Roman (Body CS)"/>
      <w:i/>
      <w:iCs/>
      <w:color w:val="35383F" w:themeColor="text2"/>
    </w:rPr>
  </w:style>
  <w:style w:type="character" w:styleId="HTMLCite">
    <w:name w:val="HTML Cite"/>
    <w:basedOn w:val="DefaultParagraphFont"/>
    <w:uiPriority w:val="99"/>
    <w:semiHidden/>
    <w:unhideWhenUsed/>
    <w:rsid w:val="00F65A3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F65A3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5A3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5A32"/>
    <w:rPr>
      <w:rFonts w:ascii="Consolas" w:hAnsi="Consolas" w:cs="Times New Roman (Body CS)"/>
      <w:color w:val="35383F" w:themeColor="text2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5A32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F65A3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5A32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5A32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5A32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5A32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5A32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5A32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5A32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5A32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5A3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5A3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F65A32"/>
    <w:rPr>
      <w:i/>
      <w:iCs/>
      <w:color w:val="FE5F01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65A32"/>
    <w:pPr>
      <w:pBdr>
        <w:top w:val="single" w:sz="4" w:space="10" w:color="FE5F01" w:themeColor="accent1"/>
        <w:bottom w:val="single" w:sz="4" w:space="10" w:color="FE5F01" w:themeColor="accent1"/>
      </w:pBdr>
      <w:spacing w:before="360" w:after="360"/>
      <w:ind w:left="864" w:right="864"/>
      <w:jc w:val="center"/>
    </w:pPr>
    <w:rPr>
      <w:i/>
      <w:iCs/>
      <w:color w:val="FE5F0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65A32"/>
    <w:rPr>
      <w:rFonts w:cs="Times New Roman (Body CS)"/>
      <w:i/>
      <w:iCs/>
      <w:color w:val="FE5F01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F65A32"/>
    <w:rPr>
      <w:b/>
      <w:bCs/>
      <w:smallCaps/>
      <w:color w:val="FE5F01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  <w:insideH w:val="single" w:sz="8" w:space="0" w:color="FE5F01" w:themeColor="accent1"/>
        <w:insideV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18" w:space="0" w:color="FE5F01" w:themeColor="accent1"/>
          <w:right w:val="single" w:sz="8" w:space="0" w:color="FE5F01" w:themeColor="accent1"/>
          <w:insideH w:val="nil"/>
          <w:insideV w:val="single" w:sz="8" w:space="0" w:color="FE5F0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H w:val="nil"/>
          <w:insideV w:val="single" w:sz="8" w:space="0" w:color="FE5F0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band1Vert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  <w:shd w:val="clear" w:color="auto" w:fill="FED7C0" w:themeFill="accent1" w:themeFillTint="3F"/>
      </w:tcPr>
    </w:tblStylePr>
    <w:tblStylePr w:type="band1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V w:val="single" w:sz="8" w:space="0" w:color="FE5F01" w:themeColor="accent1"/>
        </w:tcBorders>
        <w:shd w:val="clear" w:color="auto" w:fill="FED7C0" w:themeFill="accent1" w:themeFillTint="3F"/>
      </w:tcPr>
    </w:tblStylePr>
    <w:tblStylePr w:type="band2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V w:val="single" w:sz="8" w:space="0" w:color="FE5F0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  <w:insideH w:val="single" w:sz="8" w:space="0" w:color="F81F1A" w:themeColor="accent2"/>
        <w:insideV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18" w:space="0" w:color="F81F1A" w:themeColor="accent2"/>
          <w:right w:val="single" w:sz="8" w:space="0" w:color="F81F1A" w:themeColor="accent2"/>
          <w:insideH w:val="nil"/>
          <w:insideV w:val="single" w:sz="8" w:space="0" w:color="F81F1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H w:val="nil"/>
          <w:insideV w:val="single" w:sz="8" w:space="0" w:color="F81F1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band1Vert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  <w:shd w:val="clear" w:color="auto" w:fill="FDC7C6" w:themeFill="accent2" w:themeFillTint="3F"/>
      </w:tcPr>
    </w:tblStylePr>
    <w:tblStylePr w:type="band1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V w:val="single" w:sz="8" w:space="0" w:color="F81F1A" w:themeColor="accent2"/>
        </w:tcBorders>
        <w:shd w:val="clear" w:color="auto" w:fill="FDC7C6" w:themeFill="accent2" w:themeFillTint="3F"/>
      </w:tcPr>
    </w:tblStylePr>
    <w:tblStylePr w:type="band2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V w:val="single" w:sz="8" w:space="0" w:color="F81F1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  <w:insideH w:val="single" w:sz="8" w:space="0" w:color="35383F" w:themeColor="accent3"/>
        <w:insideV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18" w:space="0" w:color="35383F" w:themeColor="accent3"/>
          <w:right w:val="single" w:sz="8" w:space="0" w:color="35383F" w:themeColor="accent3"/>
          <w:insideH w:val="nil"/>
          <w:insideV w:val="single" w:sz="8" w:space="0" w:color="3538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H w:val="nil"/>
          <w:insideV w:val="single" w:sz="8" w:space="0" w:color="3538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band1Vert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  <w:shd w:val="clear" w:color="auto" w:fill="C9CCD2" w:themeFill="accent3" w:themeFillTint="3F"/>
      </w:tcPr>
    </w:tblStylePr>
    <w:tblStylePr w:type="band1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V w:val="single" w:sz="8" w:space="0" w:color="35383F" w:themeColor="accent3"/>
        </w:tcBorders>
        <w:shd w:val="clear" w:color="auto" w:fill="C9CCD2" w:themeFill="accent3" w:themeFillTint="3F"/>
      </w:tcPr>
    </w:tblStylePr>
    <w:tblStylePr w:type="band2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V w:val="single" w:sz="8" w:space="0" w:color="3538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  <w:insideH w:val="single" w:sz="8" w:space="0" w:color="BFBFBF" w:themeColor="accent5"/>
        <w:insideV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18" w:space="0" w:color="BFBFBF" w:themeColor="accent5"/>
          <w:right w:val="single" w:sz="8" w:space="0" w:color="BFBFBF" w:themeColor="accent5"/>
          <w:insideH w:val="nil"/>
          <w:insideV w:val="single" w:sz="8" w:space="0" w:color="BFBFB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H w:val="nil"/>
          <w:insideV w:val="single" w:sz="8" w:space="0" w:color="BFBFB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band1Vert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V w:val="single" w:sz="8" w:space="0" w:color="BFBFBF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V w:val="single" w:sz="8" w:space="0" w:color="BFBFB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  <w:insideH w:val="single" w:sz="8" w:space="0" w:color="E5E5E5" w:themeColor="accent6"/>
        <w:insideV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18" w:space="0" w:color="E5E5E5" w:themeColor="accent6"/>
          <w:right w:val="single" w:sz="8" w:space="0" w:color="E5E5E5" w:themeColor="accent6"/>
          <w:insideH w:val="nil"/>
          <w:insideV w:val="single" w:sz="8" w:space="0" w:color="E5E5E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H w:val="nil"/>
          <w:insideV w:val="single" w:sz="8" w:space="0" w:color="E5E5E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band1Vert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V w:val="single" w:sz="8" w:space="0" w:color="E5E5E5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V w:val="single" w:sz="8" w:space="0" w:color="E5E5E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band1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band1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band1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band1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band1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5A3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8" w:space="0" w:color="FE5F01" w:themeColor="accent1"/>
        <w:bottom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F01" w:themeColor="accent1"/>
          <w:left w:val="nil"/>
          <w:bottom w:val="single" w:sz="8" w:space="0" w:color="FE5F0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F01" w:themeColor="accent1"/>
          <w:left w:val="nil"/>
          <w:bottom w:val="single" w:sz="8" w:space="0" w:color="FE5F0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8" w:space="0" w:color="F81F1A" w:themeColor="accent2"/>
        <w:bottom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1F1A" w:themeColor="accent2"/>
          <w:left w:val="nil"/>
          <w:bottom w:val="single" w:sz="8" w:space="0" w:color="F81F1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1F1A" w:themeColor="accent2"/>
          <w:left w:val="nil"/>
          <w:bottom w:val="single" w:sz="8" w:space="0" w:color="F81F1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8" w:space="0" w:color="35383F" w:themeColor="accent3"/>
        <w:bottom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383F" w:themeColor="accent3"/>
          <w:left w:val="nil"/>
          <w:bottom w:val="single" w:sz="8" w:space="0" w:color="3538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383F" w:themeColor="accent3"/>
          <w:left w:val="nil"/>
          <w:bottom w:val="single" w:sz="8" w:space="0" w:color="3538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8" w:space="0" w:color="BFBFBF" w:themeColor="accent5"/>
        <w:bottom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FBF" w:themeColor="accent5"/>
          <w:left w:val="nil"/>
          <w:bottom w:val="single" w:sz="8" w:space="0" w:color="BFBFB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FBF" w:themeColor="accent5"/>
          <w:left w:val="nil"/>
          <w:bottom w:val="single" w:sz="8" w:space="0" w:color="BFBFB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8" w:space="0" w:color="E5E5E5" w:themeColor="accent6"/>
        <w:bottom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6"/>
          <w:left w:val="nil"/>
          <w:bottom w:val="single" w:sz="8" w:space="0" w:color="E5E5E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6"/>
          <w:left w:val="nil"/>
          <w:bottom w:val="single" w:sz="8" w:space="0" w:color="E5E5E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5A32"/>
    <w:rPr>
      <w:lang w:val="en-GB"/>
    </w:rPr>
  </w:style>
  <w:style w:type="paragraph" w:styleId="List">
    <w:name w:val="List"/>
    <w:basedOn w:val="Normal"/>
    <w:uiPriority w:val="99"/>
    <w:semiHidden/>
    <w:unhideWhenUsed/>
    <w:rsid w:val="00F65A3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65A3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65A3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65A3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65A32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F65A32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5A32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5A32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5A32"/>
    <w:pPr>
      <w:numPr>
        <w:numId w:val="17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5A3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5A3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5A3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5A32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rsid w:val="00F65A32"/>
    <w:pPr>
      <w:contextualSpacing/>
    </w:pPr>
  </w:style>
  <w:style w:type="paragraph" w:styleId="ListNumber3">
    <w:name w:val="List Number 3"/>
    <w:basedOn w:val="Normal"/>
    <w:uiPriority w:val="99"/>
    <w:semiHidden/>
    <w:rsid w:val="00F65A32"/>
    <w:p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5A32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5A32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65A3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2">
    <w:name w:val="List Table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bottom w:val="single" w:sz="4" w:space="0" w:color="FE9E66" w:themeColor="accent1" w:themeTint="99"/>
        <w:insideH w:val="single" w:sz="4" w:space="0" w:color="FE9E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bottom w:val="single" w:sz="4" w:space="0" w:color="FA7875" w:themeColor="accent2" w:themeTint="99"/>
        <w:insideH w:val="single" w:sz="4" w:space="0" w:color="FA787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bottom w:val="single" w:sz="4" w:space="0" w:color="7E8492" w:themeColor="accent3" w:themeTint="99"/>
        <w:insideH w:val="single" w:sz="4" w:space="0" w:color="7E849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bottom w:val="single" w:sz="4" w:space="0" w:color="D8D8D8" w:themeColor="accent5" w:themeTint="99"/>
        <w:insideH w:val="single" w:sz="4" w:space="0" w:color="D8D8D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bottom w:val="single" w:sz="4" w:space="0" w:color="EFEFEF" w:themeColor="accent6" w:themeTint="99"/>
        <w:insideH w:val="single" w:sz="4" w:space="0" w:color="EFEFE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3">
    <w:name w:val="List Table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5F01" w:themeColor="accent1"/>
        <w:left w:val="single" w:sz="4" w:space="0" w:color="FE5F01" w:themeColor="accent1"/>
        <w:bottom w:val="single" w:sz="4" w:space="0" w:color="FE5F01" w:themeColor="accent1"/>
        <w:right w:val="single" w:sz="4" w:space="0" w:color="FE5F0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5F01" w:themeColor="accent1"/>
          <w:right w:val="single" w:sz="4" w:space="0" w:color="FE5F01" w:themeColor="accent1"/>
        </w:tcBorders>
      </w:tcPr>
    </w:tblStylePr>
    <w:tblStylePr w:type="band1Horz">
      <w:tblPr/>
      <w:tcPr>
        <w:tcBorders>
          <w:top w:val="single" w:sz="4" w:space="0" w:color="FE5F01" w:themeColor="accent1"/>
          <w:bottom w:val="single" w:sz="4" w:space="0" w:color="FE5F0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5F01" w:themeColor="accent1"/>
          <w:left w:val="nil"/>
        </w:tcBorders>
      </w:tcPr>
    </w:tblStylePr>
    <w:tblStylePr w:type="swCell">
      <w:tblPr/>
      <w:tcPr>
        <w:tcBorders>
          <w:top w:val="double" w:sz="4" w:space="0" w:color="FE5F0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81F1A" w:themeColor="accent2"/>
        <w:left w:val="single" w:sz="4" w:space="0" w:color="F81F1A" w:themeColor="accent2"/>
        <w:bottom w:val="single" w:sz="4" w:space="0" w:color="F81F1A" w:themeColor="accent2"/>
        <w:right w:val="single" w:sz="4" w:space="0" w:color="F81F1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1F1A" w:themeColor="accent2"/>
          <w:right w:val="single" w:sz="4" w:space="0" w:color="F81F1A" w:themeColor="accent2"/>
        </w:tcBorders>
      </w:tcPr>
    </w:tblStylePr>
    <w:tblStylePr w:type="band1Horz">
      <w:tblPr/>
      <w:tcPr>
        <w:tcBorders>
          <w:top w:val="single" w:sz="4" w:space="0" w:color="F81F1A" w:themeColor="accent2"/>
          <w:bottom w:val="single" w:sz="4" w:space="0" w:color="F81F1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1F1A" w:themeColor="accent2"/>
          <w:left w:val="nil"/>
        </w:tcBorders>
      </w:tcPr>
    </w:tblStylePr>
    <w:tblStylePr w:type="swCell">
      <w:tblPr/>
      <w:tcPr>
        <w:tcBorders>
          <w:top w:val="double" w:sz="4" w:space="0" w:color="F81F1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35383F" w:themeColor="accent3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5383F" w:themeColor="accent3"/>
          <w:right w:val="single" w:sz="4" w:space="0" w:color="35383F" w:themeColor="accent3"/>
        </w:tcBorders>
      </w:tcPr>
    </w:tblStylePr>
    <w:tblStylePr w:type="band1Horz">
      <w:tblPr/>
      <w:tcPr>
        <w:tcBorders>
          <w:top w:val="single" w:sz="4" w:space="0" w:color="35383F" w:themeColor="accent3"/>
          <w:bottom w:val="single" w:sz="4" w:space="0" w:color="3538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5383F" w:themeColor="accent3"/>
          <w:left w:val="nil"/>
        </w:tcBorders>
      </w:tcPr>
    </w:tblStylePr>
    <w:tblStylePr w:type="swCell">
      <w:tblPr/>
      <w:tcPr>
        <w:tcBorders>
          <w:top w:val="double" w:sz="4" w:space="0" w:color="3538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/>
        <w:left w:val="single" w:sz="4" w:space="0" w:color="BFBFBF" w:themeColor="accent5"/>
        <w:bottom w:val="single" w:sz="4" w:space="0" w:color="BFBFBF" w:themeColor="accent5"/>
        <w:right w:val="single" w:sz="4" w:space="0" w:color="BFBFB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FBF" w:themeColor="accent5"/>
          <w:right w:val="single" w:sz="4" w:space="0" w:color="BFBFBF" w:themeColor="accent5"/>
        </w:tcBorders>
      </w:tcPr>
    </w:tblStylePr>
    <w:tblStylePr w:type="band1Horz">
      <w:tblPr/>
      <w:tcPr>
        <w:tcBorders>
          <w:top w:val="single" w:sz="4" w:space="0" w:color="BFBFBF" w:themeColor="accent5"/>
          <w:bottom w:val="single" w:sz="4" w:space="0" w:color="BFBFB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FBF" w:themeColor="accent5"/>
          <w:left w:val="nil"/>
        </w:tcBorders>
      </w:tcPr>
    </w:tblStylePr>
    <w:tblStylePr w:type="swCell">
      <w:tblPr/>
      <w:tcPr>
        <w:tcBorders>
          <w:top w:val="double" w:sz="4" w:space="0" w:color="BFBFB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5E5E5" w:themeColor="accent6"/>
        <w:left w:val="single" w:sz="4" w:space="0" w:color="E5E5E5" w:themeColor="accent6"/>
        <w:bottom w:val="single" w:sz="4" w:space="0" w:color="E5E5E5" w:themeColor="accent6"/>
        <w:right w:val="single" w:sz="4" w:space="0" w:color="E5E5E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E5E5" w:themeColor="accent6"/>
          <w:right w:val="single" w:sz="4" w:space="0" w:color="E5E5E5" w:themeColor="accent6"/>
        </w:tcBorders>
      </w:tcPr>
    </w:tblStylePr>
    <w:tblStylePr w:type="band1Horz">
      <w:tblPr/>
      <w:tcPr>
        <w:tcBorders>
          <w:top w:val="single" w:sz="4" w:space="0" w:color="E5E5E5" w:themeColor="accent6"/>
          <w:bottom w:val="single" w:sz="4" w:space="0" w:color="E5E5E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E5E5" w:themeColor="accent6"/>
          <w:left w:val="nil"/>
        </w:tcBorders>
      </w:tcPr>
    </w:tblStylePr>
    <w:tblStylePr w:type="swCell">
      <w:tblPr/>
      <w:tcPr>
        <w:tcBorders>
          <w:top w:val="double" w:sz="4" w:space="0" w:color="E5E5E5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F01" w:themeColor="accent1"/>
          <w:left w:val="single" w:sz="4" w:space="0" w:color="FE5F01" w:themeColor="accent1"/>
          <w:bottom w:val="single" w:sz="4" w:space="0" w:color="FE5F01" w:themeColor="accent1"/>
          <w:right w:val="single" w:sz="4" w:space="0" w:color="FE5F01" w:themeColor="accent1"/>
          <w:insideH w:val="nil"/>
        </w:tcBorders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1F1A" w:themeColor="accent2"/>
          <w:left w:val="single" w:sz="4" w:space="0" w:color="F81F1A" w:themeColor="accent2"/>
          <w:bottom w:val="single" w:sz="4" w:space="0" w:color="F81F1A" w:themeColor="accent2"/>
          <w:right w:val="single" w:sz="4" w:space="0" w:color="F81F1A" w:themeColor="accent2"/>
          <w:insideH w:val="nil"/>
        </w:tcBorders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383F" w:themeColor="accent3"/>
          <w:left w:val="single" w:sz="4" w:space="0" w:color="35383F" w:themeColor="accent3"/>
          <w:bottom w:val="single" w:sz="4" w:space="0" w:color="35383F" w:themeColor="accent3"/>
          <w:right w:val="single" w:sz="4" w:space="0" w:color="35383F" w:themeColor="accent3"/>
          <w:insideH w:val="nil"/>
        </w:tcBorders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FBF" w:themeColor="accent5"/>
          <w:left w:val="single" w:sz="4" w:space="0" w:color="BFBFBF" w:themeColor="accent5"/>
          <w:bottom w:val="single" w:sz="4" w:space="0" w:color="BFBFBF" w:themeColor="accent5"/>
          <w:right w:val="single" w:sz="4" w:space="0" w:color="BFBFBF" w:themeColor="accent5"/>
          <w:insideH w:val="nil"/>
        </w:tcBorders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5E5" w:themeColor="accent6"/>
          <w:left w:val="single" w:sz="4" w:space="0" w:color="E5E5E5" w:themeColor="accent6"/>
          <w:bottom w:val="single" w:sz="4" w:space="0" w:color="E5E5E5" w:themeColor="accent6"/>
          <w:right w:val="single" w:sz="4" w:space="0" w:color="E5E5E5" w:themeColor="accent6"/>
          <w:insideH w:val="nil"/>
        </w:tcBorders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5F01" w:themeColor="accent1"/>
        <w:left w:val="single" w:sz="24" w:space="0" w:color="FE5F01" w:themeColor="accent1"/>
        <w:bottom w:val="single" w:sz="24" w:space="0" w:color="FE5F01" w:themeColor="accent1"/>
        <w:right w:val="single" w:sz="24" w:space="0" w:color="FE5F01" w:themeColor="accent1"/>
      </w:tblBorders>
    </w:tblPr>
    <w:tcPr>
      <w:shd w:val="clear" w:color="auto" w:fill="FE5F0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81F1A" w:themeColor="accent2"/>
        <w:left w:val="single" w:sz="24" w:space="0" w:color="F81F1A" w:themeColor="accent2"/>
        <w:bottom w:val="single" w:sz="24" w:space="0" w:color="F81F1A" w:themeColor="accent2"/>
        <w:right w:val="single" w:sz="24" w:space="0" w:color="F81F1A" w:themeColor="accent2"/>
      </w:tblBorders>
    </w:tblPr>
    <w:tcPr>
      <w:shd w:val="clear" w:color="auto" w:fill="F81F1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5383F" w:themeColor="accent3"/>
        <w:left w:val="single" w:sz="24" w:space="0" w:color="35383F" w:themeColor="accent3"/>
        <w:bottom w:val="single" w:sz="24" w:space="0" w:color="35383F" w:themeColor="accent3"/>
        <w:right w:val="single" w:sz="24" w:space="0" w:color="35383F" w:themeColor="accent3"/>
      </w:tblBorders>
    </w:tblPr>
    <w:tcPr>
      <w:shd w:val="clear" w:color="auto" w:fill="3538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FBF" w:themeColor="accent5"/>
        <w:left w:val="single" w:sz="24" w:space="0" w:color="BFBFBF" w:themeColor="accent5"/>
        <w:bottom w:val="single" w:sz="24" w:space="0" w:color="BFBFBF" w:themeColor="accent5"/>
        <w:right w:val="single" w:sz="24" w:space="0" w:color="BFBFBF" w:themeColor="accent5"/>
      </w:tblBorders>
    </w:tblPr>
    <w:tcPr>
      <w:shd w:val="clear" w:color="auto" w:fill="BFBFB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E5E5" w:themeColor="accent6"/>
        <w:left w:val="single" w:sz="24" w:space="0" w:color="E5E5E5" w:themeColor="accent6"/>
        <w:bottom w:val="single" w:sz="24" w:space="0" w:color="E5E5E5" w:themeColor="accent6"/>
        <w:right w:val="single" w:sz="24" w:space="0" w:color="E5E5E5" w:themeColor="accent6"/>
      </w:tblBorders>
    </w:tblPr>
    <w:tcPr>
      <w:shd w:val="clear" w:color="auto" w:fill="E5E5E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5F01" w:themeColor="accent1"/>
        <w:bottom w:val="single" w:sz="4" w:space="0" w:color="FE5F0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E5F0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81F1A" w:themeColor="accent2"/>
        <w:bottom w:val="single" w:sz="4" w:space="0" w:color="F81F1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81F1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35383F" w:themeColor="accent3"/>
        <w:bottom w:val="single" w:sz="4" w:space="0" w:color="3538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538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BFBFBF" w:themeColor="accent5"/>
        <w:bottom w:val="single" w:sz="4" w:space="0" w:color="BFBFB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FBFB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5E5E5" w:themeColor="accent6"/>
        <w:bottom w:val="single" w:sz="4" w:space="0" w:color="E5E5E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5E5E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5F0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5F0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5F0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5F0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1F1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1F1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1F1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1F1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538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538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538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538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FB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FB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FB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FB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5E5E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5E5E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5E5E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5E5E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5A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5A32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8640" w:themeColor="accent1" w:themeTint="BF"/>
        <w:left w:val="single" w:sz="8" w:space="0" w:color="FE8640" w:themeColor="accent1" w:themeTint="BF"/>
        <w:bottom w:val="single" w:sz="8" w:space="0" w:color="FE8640" w:themeColor="accent1" w:themeTint="BF"/>
        <w:right w:val="single" w:sz="8" w:space="0" w:color="FE8640" w:themeColor="accent1" w:themeTint="BF"/>
        <w:insideH w:val="single" w:sz="8" w:space="0" w:color="FE8640" w:themeColor="accent1" w:themeTint="BF"/>
        <w:insideV w:val="single" w:sz="8" w:space="0" w:color="FE8640" w:themeColor="accent1" w:themeTint="BF"/>
      </w:tblBorders>
    </w:tblPr>
    <w:tcPr>
      <w:shd w:val="clear" w:color="auto" w:fill="FED7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86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shd w:val="clear" w:color="auto" w:fill="FEAE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95653" w:themeColor="accent2" w:themeTint="BF"/>
        <w:left w:val="single" w:sz="8" w:space="0" w:color="F95653" w:themeColor="accent2" w:themeTint="BF"/>
        <w:bottom w:val="single" w:sz="8" w:space="0" w:color="F95653" w:themeColor="accent2" w:themeTint="BF"/>
        <w:right w:val="single" w:sz="8" w:space="0" w:color="F95653" w:themeColor="accent2" w:themeTint="BF"/>
        <w:insideH w:val="single" w:sz="8" w:space="0" w:color="F95653" w:themeColor="accent2" w:themeTint="BF"/>
        <w:insideV w:val="single" w:sz="8" w:space="0" w:color="F95653" w:themeColor="accent2" w:themeTint="BF"/>
      </w:tblBorders>
    </w:tblPr>
    <w:tcPr>
      <w:shd w:val="clear" w:color="auto" w:fill="FDC7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565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shd w:val="clear" w:color="auto" w:fill="FB8E8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626774" w:themeColor="accent3" w:themeTint="BF"/>
        <w:left w:val="single" w:sz="8" w:space="0" w:color="626774" w:themeColor="accent3" w:themeTint="BF"/>
        <w:bottom w:val="single" w:sz="8" w:space="0" w:color="626774" w:themeColor="accent3" w:themeTint="BF"/>
        <w:right w:val="single" w:sz="8" w:space="0" w:color="626774" w:themeColor="accent3" w:themeTint="BF"/>
        <w:insideH w:val="single" w:sz="8" w:space="0" w:color="626774" w:themeColor="accent3" w:themeTint="BF"/>
        <w:insideV w:val="single" w:sz="8" w:space="0" w:color="626774" w:themeColor="accent3" w:themeTint="BF"/>
      </w:tblBorders>
    </w:tblPr>
    <w:tcPr>
      <w:shd w:val="clear" w:color="auto" w:fill="C9CC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677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BEBEB" w:themeColor="accent6" w:themeTint="BF"/>
        <w:left w:val="single" w:sz="8" w:space="0" w:color="EBEBEB" w:themeColor="accent6" w:themeTint="BF"/>
        <w:bottom w:val="single" w:sz="8" w:space="0" w:color="EBEBEB" w:themeColor="accent6" w:themeTint="BF"/>
        <w:right w:val="single" w:sz="8" w:space="0" w:color="EBEBEB" w:themeColor="accent6" w:themeTint="BF"/>
        <w:insideH w:val="single" w:sz="8" w:space="0" w:color="EBEBEB" w:themeColor="accent6" w:themeTint="BF"/>
        <w:insideV w:val="single" w:sz="8" w:space="0" w:color="EBEBEB" w:themeColor="accent6" w:themeTint="BF"/>
      </w:tblBorders>
    </w:tblPr>
    <w:tcPr>
      <w:shd w:val="clear" w:color="auto" w:fill="F8F8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EBE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  <w:insideH w:val="single" w:sz="8" w:space="0" w:color="FE5F01" w:themeColor="accent1"/>
        <w:insideV w:val="single" w:sz="8" w:space="0" w:color="FE5F01" w:themeColor="accent1"/>
      </w:tblBorders>
    </w:tblPr>
    <w:tcPr>
      <w:shd w:val="clear" w:color="auto" w:fill="FED7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F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ECC" w:themeFill="accent1" w:themeFillTint="33"/>
      </w:tc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tcBorders>
          <w:insideH w:val="single" w:sz="6" w:space="0" w:color="FE5F01" w:themeColor="accent1"/>
          <w:insideV w:val="single" w:sz="6" w:space="0" w:color="FE5F01" w:themeColor="accent1"/>
        </w:tcBorders>
        <w:shd w:val="clear" w:color="auto" w:fill="FEAE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  <w:insideH w:val="single" w:sz="8" w:space="0" w:color="F81F1A" w:themeColor="accent2"/>
        <w:insideV w:val="single" w:sz="8" w:space="0" w:color="F81F1A" w:themeColor="accent2"/>
      </w:tblBorders>
    </w:tblPr>
    <w:tcPr>
      <w:shd w:val="clear" w:color="auto" w:fill="FDC7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E8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1D1" w:themeFill="accent2" w:themeFillTint="33"/>
      </w:tc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tcBorders>
          <w:insideH w:val="single" w:sz="6" w:space="0" w:color="F81F1A" w:themeColor="accent2"/>
          <w:insideV w:val="single" w:sz="6" w:space="0" w:color="F81F1A" w:themeColor="accent2"/>
        </w:tcBorders>
        <w:shd w:val="clear" w:color="auto" w:fill="FB8E8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  <w:insideH w:val="single" w:sz="8" w:space="0" w:color="35383F" w:themeColor="accent3"/>
        <w:insideV w:val="single" w:sz="8" w:space="0" w:color="35383F" w:themeColor="accent3"/>
      </w:tblBorders>
    </w:tblPr>
    <w:tcPr>
      <w:shd w:val="clear" w:color="auto" w:fill="C9CC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EA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6DB" w:themeFill="accent3" w:themeFillTint="33"/>
      </w:tc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tcBorders>
          <w:insideH w:val="single" w:sz="6" w:space="0" w:color="35383F" w:themeColor="accent3"/>
          <w:insideV w:val="single" w:sz="6" w:space="0" w:color="35383F" w:themeColor="accent3"/>
        </w:tcBorders>
        <w:shd w:val="clear" w:color="auto" w:fill="9499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  <w:insideH w:val="single" w:sz="8" w:space="0" w:color="BFBFBF" w:themeColor="accent5"/>
        <w:insideV w:val="single" w:sz="8" w:space="0" w:color="BFBFBF" w:themeColor="accent5"/>
      </w:tblBorders>
    </w:tblPr>
    <w:tcPr>
      <w:shd w:val="clear" w:color="auto" w:fill="EFEF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BFBFBF" w:themeColor="accent5"/>
          <w:insideV w:val="single" w:sz="6" w:space="0" w:color="BFBFBF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  <w:insideH w:val="single" w:sz="8" w:space="0" w:color="E5E5E5" w:themeColor="accent6"/>
        <w:insideV w:val="single" w:sz="8" w:space="0" w:color="E5E5E5" w:themeColor="accent6"/>
      </w:tblBorders>
    </w:tblPr>
    <w:tcPr>
      <w:shd w:val="clear" w:color="auto" w:fill="F8F8F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5E5E5" w:themeColor="accent6"/>
          <w:insideV w:val="single" w:sz="6" w:space="0" w:color="E5E5E5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7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F0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F0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AE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AE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C7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1F1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1F1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8E8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8E8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C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38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38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9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9A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FB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FB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E5E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E5E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bottom w:val="single" w:sz="8" w:space="0" w:color="FE5F0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5F01" w:themeColor="accent1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FE5F01" w:themeColor="accent1"/>
          <w:bottom w:val="single" w:sz="8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5F01" w:themeColor="accent1"/>
          <w:bottom w:val="single" w:sz="8" w:space="0" w:color="FE5F01" w:themeColor="accent1"/>
        </w:tcBorders>
      </w:tcPr>
    </w:tblStylePr>
    <w:tblStylePr w:type="band1Vert">
      <w:tblPr/>
      <w:tcPr>
        <w:shd w:val="clear" w:color="auto" w:fill="FED7C0" w:themeFill="accent1" w:themeFillTint="3F"/>
      </w:tcPr>
    </w:tblStylePr>
    <w:tblStylePr w:type="band1Horz">
      <w:tblPr/>
      <w:tcPr>
        <w:shd w:val="clear" w:color="auto" w:fill="FED7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bottom w:val="single" w:sz="8" w:space="0" w:color="F81F1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1F1A" w:themeColor="accent2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F81F1A" w:themeColor="accent2"/>
          <w:bottom w:val="single" w:sz="8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1F1A" w:themeColor="accent2"/>
          <w:bottom w:val="single" w:sz="8" w:space="0" w:color="F81F1A" w:themeColor="accent2"/>
        </w:tcBorders>
      </w:tcPr>
    </w:tblStylePr>
    <w:tblStylePr w:type="band1Vert">
      <w:tblPr/>
      <w:tcPr>
        <w:shd w:val="clear" w:color="auto" w:fill="FDC7C6" w:themeFill="accent2" w:themeFillTint="3F"/>
      </w:tcPr>
    </w:tblStylePr>
    <w:tblStylePr w:type="band1Horz">
      <w:tblPr/>
      <w:tcPr>
        <w:shd w:val="clear" w:color="auto" w:fill="FDC7C6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bottom w:val="single" w:sz="8" w:space="0" w:color="3538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5383F" w:themeColor="accent3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35383F" w:themeColor="accent3"/>
          <w:bottom w:val="single" w:sz="8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5383F" w:themeColor="accent3"/>
          <w:bottom w:val="single" w:sz="8" w:space="0" w:color="35383F" w:themeColor="accent3"/>
        </w:tcBorders>
      </w:tcPr>
    </w:tblStylePr>
    <w:tblStylePr w:type="band1Vert">
      <w:tblPr/>
      <w:tcPr>
        <w:shd w:val="clear" w:color="auto" w:fill="C9CCD2" w:themeFill="accent3" w:themeFillTint="3F"/>
      </w:tcPr>
    </w:tblStylePr>
    <w:tblStylePr w:type="band1Horz">
      <w:tblPr/>
      <w:tcPr>
        <w:shd w:val="clear" w:color="auto" w:fill="C9CCD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bottom w:val="single" w:sz="8" w:space="0" w:color="BFBFB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FBF" w:themeColor="accent5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BFBFBF" w:themeColor="accent5"/>
          <w:bottom w:val="single" w:sz="8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FBF" w:themeColor="accent5"/>
          <w:bottom w:val="single" w:sz="8" w:space="0" w:color="BFBFBF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bottom w:val="single" w:sz="8" w:space="0" w:color="E5E5E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E5E5" w:themeColor="accent6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E5E5E5" w:themeColor="accent6"/>
          <w:bottom w:val="single" w:sz="8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E5E5" w:themeColor="accent6"/>
          <w:bottom w:val="single" w:sz="8" w:space="0" w:color="E5E5E5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5F0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5F0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5F0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7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1F1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1F1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C7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538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538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538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C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FB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FB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FB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E5E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E5E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E5E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8640" w:themeColor="accent1" w:themeTint="BF"/>
        <w:left w:val="single" w:sz="8" w:space="0" w:color="FE8640" w:themeColor="accent1" w:themeTint="BF"/>
        <w:bottom w:val="single" w:sz="8" w:space="0" w:color="FE8640" w:themeColor="accent1" w:themeTint="BF"/>
        <w:right w:val="single" w:sz="8" w:space="0" w:color="FE8640" w:themeColor="accent1" w:themeTint="BF"/>
        <w:insideH w:val="single" w:sz="8" w:space="0" w:color="FE86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8640" w:themeColor="accent1" w:themeTint="BF"/>
          <w:left w:val="single" w:sz="8" w:space="0" w:color="FE8640" w:themeColor="accent1" w:themeTint="BF"/>
          <w:bottom w:val="single" w:sz="8" w:space="0" w:color="FE8640" w:themeColor="accent1" w:themeTint="BF"/>
          <w:right w:val="single" w:sz="8" w:space="0" w:color="FE8640" w:themeColor="accent1" w:themeTint="BF"/>
          <w:insideH w:val="nil"/>
          <w:insideV w:val="nil"/>
        </w:tcBorders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8640" w:themeColor="accent1" w:themeTint="BF"/>
          <w:left w:val="single" w:sz="8" w:space="0" w:color="FE8640" w:themeColor="accent1" w:themeTint="BF"/>
          <w:bottom w:val="single" w:sz="8" w:space="0" w:color="FE8640" w:themeColor="accent1" w:themeTint="BF"/>
          <w:right w:val="single" w:sz="8" w:space="0" w:color="FE86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7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7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95653" w:themeColor="accent2" w:themeTint="BF"/>
        <w:left w:val="single" w:sz="8" w:space="0" w:color="F95653" w:themeColor="accent2" w:themeTint="BF"/>
        <w:bottom w:val="single" w:sz="8" w:space="0" w:color="F95653" w:themeColor="accent2" w:themeTint="BF"/>
        <w:right w:val="single" w:sz="8" w:space="0" w:color="F95653" w:themeColor="accent2" w:themeTint="BF"/>
        <w:insideH w:val="single" w:sz="8" w:space="0" w:color="F9565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5653" w:themeColor="accent2" w:themeTint="BF"/>
          <w:left w:val="single" w:sz="8" w:space="0" w:color="F95653" w:themeColor="accent2" w:themeTint="BF"/>
          <w:bottom w:val="single" w:sz="8" w:space="0" w:color="F95653" w:themeColor="accent2" w:themeTint="BF"/>
          <w:right w:val="single" w:sz="8" w:space="0" w:color="F95653" w:themeColor="accent2" w:themeTint="BF"/>
          <w:insideH w:val="nil"/>
          <w:insideV w:val="nil"/>
        </w:tcBorders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5653" w:themeColor="accent2" w:themeTint="BF"/>
          <w:left w:val="single" w:sz="8" w:space="0" w:color="F95653" w:themeColor="accent2" w:themeTint="BF"/>
          <w:bottom w:val="single" w:sz="8" w:space="0" w:color="F95653" w:themeColor="accent2" w:themeTint="BF"/>
          <w:right w:val="single" w:sz="8" w:space="0" w:color="F9565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7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C7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626774" w:themeColor="accent3" w:themeTint="BF"/>
        <w:left w:val="single" w:sz="8" w:space="0" w:color="626774" w:themeColor="accent3" w:themeTint="BF"/>
        <w:bottom w:val="single" w:sz="8" w:space="0" w:color="626774" w:themeColor="accent3" w:themeTint="BF"/>
        <w:right w:val="single" w:sz="8" w:space="0" w:color="626774" w:themeColor="accent3" w:themeTint="BF"/>
        <w:insideH w:val="single" w:sz="8" w:space="0" w:color="62677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6774" w:themeColor="accent3" w:themeTint="BF"/>
          <w:left w:val="single" w:sz="8" w:space="0" w:color="626774" w:themeColor="accent3" w:themeTint="BF"/>
          <w:bottom w:val="single" w:sz="8" w:space="0" w:color="626774" w:themeColor="accent3" w:themeTint="BF"/>
          <w:right w:val="single" w:sz="8" w:space="0" w:color="626774" w:themeColor="accent3" w:themeTint="BF"/>
          <w:insideH w:val="nil"/>
          <w:insideV w:val="nil"/>
        </w:tcBorders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6774" w:themeColor="accent3" w:themeTint="BF"/>
          <w:left w:val="single" w:sz="8" w:space="0" w:color="626774" w:themeColor="accent3" w:themeTint="BF"/>
          <w:bottom w:val="single" w:sz="8" w:space="0" w:color="626774" w:themeColor="accent3" w:themeTint="BF"/>
          <w:right w:val="single" w:sz="8" w:space="0" w:color="62677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C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C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BEBEB" w:themeColor="accent6" w:themeTint="BF"/>
        <w:left w:val="single" w:sz="8" w:space="0" w:color="EBEBEB" w:themeColor="accent6" w:themeTint="BF"/>
        <w:bottom w:val="single" w:sz="8" w:space="0" w:color="EBEBEB" w:themeColor="accent6" w:themeTint="BF"/>
        <w:right w:val="single" w:sz="8" w:space="0" w:color="EBEBEB" w:themeColor="accent6" w:themeTint="BF"/>
        <w:insideH w:val="single" w:sz="8" w:space="0" w:color="EBEBE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EBEB" w:themeColor="accent6" w:themeTint="BF"/>
          <w:left w:val="single" w:sz="8" w:space="0" w:color="EBEBEB" w:themeColor="accent6" w:themeTint="BF"/>
          <w:bottom w:val="single" w:sz="8" w:space="0" w:color="EBEBEB" w:themeColor="accent6" w:themeTint="BF"/>
          <w:right w:val="single" w:sz="8" w:space="0" w:color="EBEBEB" w:themeColor="accent6" w:themeTint="BF"/>
          <w:insideH w:val="nil"/>
          <w:insideV w:val="nil"/>
        </w:tcBorders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BEB" w:themeColor="accent6" w:themeTint="BF"/>
          <w:left w:val="single" w:sz="8" w:space="0" w:color="EBEBEB" w:themeColor="accent6" w:themeTint="BF"/>
          <w:bottom w:val="single" w:sz="8" w:space="0" w:color="EBEBEB" w:themeColor="accent6" w:themeTint="BF"/>
          <w:right w:val="single" w:sz="8" w:space="0" w:color="EBEBE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5A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5A32"/>
    <w:rPr>
      <w:rFonts w:asciiTheme="majorHAnsi" w:eastAsiaTheme="majorEastAsia" w:hAnsiTheme="majorHAnsi" w:cstheme="majorBidi"/>
      <w:color w:val="35383F" w:themeColor="text2"/>
      <w:sz w:val="24"/>
      <w:szCs w:val="24"/>
      <w:shd w:val="pct20" w:color="auto" w:fill="auto"/>
    </w:rPr>
  </w:style>
  <w:style w:type="paragraph" w:styleId="NoSpacing">
    <w:name w:val="No Spacing"/>
    <w:qFormat/>
    <w:rsid w:val="00F65A32"/>
    <w:pPr>
      <w:spacing w:after="0" w:line="240" w:lineRule="auto"/>
    </w:pPr>
    <w:rPr>
      <w:color w:val="35383F" w:themeColor="text2"/>
    </w:rPr>
  </w:style>
  <w:style w:type="paragraph" w:styleId="NormalWeb">
    <w:name w:val="Normal (Web)"/>
    <w:basedOn w:val="Normal"/>
    <w:uiPriority w:val="99"/>
    <w:semiHidden/>
    <w:unhideWhenUsed/>
    <w:rsid w:val="00F65A3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5A3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5A3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5A32"/>
    <w:rPr>
      <w:rFonts w:cs="Times New Roman (Body CS)"/>
      <w:color w:val="35383F" w:themeColor="text2"/>
    </w:rPr>
  </w:style>
  <w:style w:type="character" w:styleId="PageNumber">
    <w:name w:val="page number"/>
    <w:basedOn w:val="DefaultParagraphFont"/>
    <w:uiPriority w:val="99"/>
    <w:semiHidden/>
    <w:unhideWhenUsed/>
    <w:rsid w:val="00F65A3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F65A32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5A3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5A32"/>
    <w:rPr>
      <w:rFonts w:ascii="Consolas" w:hAnsi="Consolas" w:cs="Times New Roman (Body CS)"/>
      <w:color w:val="35383F" w:themeColor="text2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65A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5A32"/>
    <w:rPr>
      <w:rFonts w:cs="Times New Roman (Body CS)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5A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5A32"/>
    <w:rPr>
      <w:rFonts w:cs="Times New Roman (Body CS)"/>
      <w:color w:val="35383F" w:themeColor="tex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5A3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5A32"/>
    <w:rPr>
      <w:rFonts w:cs="Times New Roman (Body CS)"/>
      <w:color w:val="35383F" w:themeColor="text2"/>
    </w:rPr>
  </w:style>
  <w:style w:type="character" w:styleId="SmartHyperlink">
    <w:name w:val="Smart Hyperlink"/>
    <w:basedOn w:val="DefaultParagraphFont"/>
    <w:uiPriority w:val="99"/>
    <w:semiHidden/>
    <w:unhideWhenUsed/>
    <w:rsid w:val="00F65A32"/>
    <w:rPr>
      <w:u w:val="dotted"/>
      <w:lang w:val="en-GB"/>
    </w:rPr>
  </w:style>
  <w:style w:type="character" w:styleId="Strong">
    <w:name w:val="Strong"/>
    <w:basedOn w:val="DefaultParagraphFont"/>
    <w:uiPriority w:val="22"/>
    <w:semiHidden/>
    <w:qFormat/>
    <w:rsid w:val="00F65A3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65A32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65A32"/>
    <w:rPr>
      <w:rFonts w:asciiTheme="minorHAnsi" w:hAnsiTheme="minorHAnsi" w:cs="Times New Roman (Body CS)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F65A3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F65A3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65A3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5A3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5A3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5A3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5A3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5A3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5A3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5A3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5A3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5A3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5A3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5A3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5A3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5A32"/>
    <w:pPr>
      <w:ind w:left="180" w:hanging="1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5A32"/>
  </w:style>
  <w:style w:type="table" w:styleId="TableProfessional">
    <w:name w:val="Table Professional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5A3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5A3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5A3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5A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F65A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65A32"/>
    <w:rPr>
      <w:rFonts w:asciiTheme="majorHAnsi" w:eastAsiaTheme="majorEastAsia" w:hAnsiTheme="majorHAnsi" w:cstheme="majorBidi"/>
      <w:color w:val="35383F" w:themeColor="text2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65A3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character" w:styleId="UnresolvedMention">
    <w:name w:val="Unresolved Mention"/>
    <w:basedOn w:val="DefaultParagraphFont"/>
    <w:uiPriority w:val="99"/>
    <w:semiHidden/>
    <w:rsid w:val="00F65A32"/>
    <w:rPr>
      <w:color w:val="808080"/>
      <w:shd w:val="clear" w:color="auto" w:fill="E6E6E6"/>
      <w:lang w:val="en-GB"/>
    </w:rPr>
  </w:style>
  <w:style w:type="paragraph" w:customStyle="1" w:styleId="Table-bullet">
    <w:name w:val="Table - bullet"/>
    <w:basedOn w:val="Normal"/>
    <w:qFormat/>
    <w:rsid w:val="00F65A32"/>
    <w:pPr>
      <w:numPr>
        <w:numId w:val="21"/>
      </w:numPr>
      <w:spacing w:after="60" w:line="276" w:lineRule="auto"/>
      <w:ind w:right="284"/>
    </w:pPr>
    <w:rPr>
      <w:rFonts w:eastAsia="Verdana" w:cs="Times New Roman"/>
    </w:rPr>
  </w:style>
  <w:style w:type="paragraph" w:customStyle="1" w:styleId="BottomLine">
    <w:name w:val="Bottom Line"/>
    <w:basedOn w:val="BUSINESSINTELLIGENCE"/>
    <w:uiPriority w:val="9"/>
    <w:qFormat/>
    <w:rsid w:val="00F65A32"/>
    <w:pPr>
      <w:pBdr>
        <w:top w:val="single" w:sz="12" w:space="1" w:color="808080" w:themeColor="accent4"/>
      </w:pBdr>
      <w:spacing w:after="320"/>
      <w:jc w:val="left"/>
    </w:pPr>
    <w:rPr>
      <w:color w:val="35383F" w:themeColor="text2"/>
      <w:sz w:val="18"/>
    </w:rPr>
  </w:style>
  <w:style w:type="character" w:customStyle="1" w:styleId="CoverDateChar">
    <w:name w:val="CoverDate Char"/>
    <w:basedOn w:val="DefaultParagraphFont"/>
    <w:link w:val="CoverDate"/>
    <w:uiPriority w:val="2"/>
    <w:rsid w:val="00F65A32"/>
    <w:rPr>
      <w:color w:val="35383F" w:themeColor="text2"/>
      <w:sz w:val="24"/>
      <w:szCs w:val="42"/>
    </w:rPr>
  </w:style>
  <w:style w:type="character" w:customStyle="1" w:styleId="CoverTitleChar">
    <w:name w:val="CoverTitle Char"/>
    <w:basedOn w:val="DefaultParagraphFont"/>
    <w:link w:val="CoverTitle"/>
    <w:uiPriority w:val="2"/>
    <w:rsid w:val="00F65A32"/>
    <w:rPr>
      <w:rFonts w:cs="Times New Roman (Body CS)"/>
      <w:b/>
      <w:color w:val="35383F" w:themeColor="accent3"/>
      <w:sz w:val="48"/>
      <w:szCs w:val="86"/>
    </w:rPr>
  </w:style>
  <w:style w:type="numbering" w:customStyle="1" w:styleId="CurrentList1">
    <w:name w:val="Current List1"/>
    <w:uiPriority w:val="99"/>
    <w:rsid w:val="00F65A32"/>
    <w:pPr>
      <w:numPr>
        <w:numId w:val="1"/>
      </w:numPr>
    </w:pPr>
  </w:style>
  <w:style w:type="numbering" w:customStyle="1" w:styleId="CurrentList10">
    <w:name w:val="Current List10"/>
    <w:uiPriority w:val="99"/>
    <w:rsid w:val="00F65A32"/>
    <w:pPr>
      <w:numPr>
        <w:numId w:val="2"/>
      </w:numPr>
    </w:pPr>
  </w:style>
  <w:style w:type="numbering" w:customStyle="1" w:styleId="CurrentList2">
    <w:name w:val="Current List2"/>
    <w:uiPriority w:val="99"/>
    <w:rsid w:val="00F65A32"/>
    <w:pPr>
      <w:numPr>
        <w:numId w:val="3"/>
      </w:numPr>
    </w:pPr>
  </w:style>
  <w:style w:type="numbering" w:customStyle="1" w:styleId="CurrentList3">
    <w:name w:val="Current List3"/>
    <w:uiPriority w:val="99"/>
    <w:rsid w:val="00F65A32"/>
    <w:pPr>
      <w:numPr>
        <w:numId w:val="4"/>
      </w:numPr>
    </w:pPr>
  </w:style>
  <w:style w:type="numbering" w:customStyle="1" w:styleId="CurrentList4">
    <w:name w:val="Current List4"/>
    <w:uiPriority w:val="99"/>
    <w:rsid w:val="00F65A32"/>
    <w:pPr>
      <w:numPr>
        <w:numId w:val="5"/>
      </w:numPr>
    </w:pPr>
  </w:style>
  <w:style w:type="numbering" w:customStyle="1" w:styleId="CurrentList5">
    <w:name w:val="Current List5"/>
    <w:uiPriority w:val="99"/>
    <w:rsid w:val="00F65A32"/>
    <w:pPr>
      <w:numPr>
        <w:numId w:val="6"/>
      </w:numPr>
    </w:pPr>
  </w:style>
  <w:style w:type="numbering" w:customStyle="1" w:styleId="CurrentList6">
    <w:name w:val="Current List6"/>
    <w:uiPriority w:val="99"/>
    <w:rsid w:val="00F65A32"/>
    <w:pPr>
      <w:numPr>
        <w:numId w:val="7"/>
      </w:numPr>
    </w:pPr>
  </w:style>
  <w:style w:type="numbering" w:customStyle="1" w:styleId="CurrentList7">
    <w:name w:val="Current List7"/>
    <w:uiPriority w:val="99"/>
    <w:rsid w:val="00F65A32"/>
    <w:pPr>
      <w:numPr>
        <w:numId w:val="8"/>
      </w:numPr>
    </w:pPr>
  </w:style>
  <w:style w:type="numbering" w:customStyle="1" w:styleId="CurrentList8">
    <w:name w:val="Current List8"/>
    <w:uiPriority w:val="99"/>
    <w:rsid w:val="00F65A32"/>
    <w:pPr>
      <w:numPr>
        <w:numId w:val="9"/>
      </w:numPr>
    </w:pPr>
  </w:style>
  <w:style w:type="numbering" w:customStyle="1" w:styleId="CurrentList9">
    <w:name w:val="Current List9"/>
    <w:uiPriority w:val="99"/>
    <w:rsid w:val="00F65A32"/>
    <w:pPr>
      <w:numPr>
        <w:numId w:val="10"/>
      </w:numPr>
    </w:pPr>
  </w:style>
  <w:style w:type="table" w:customStyle="1" w:styleId="Executivesummarytable">
    <w:name w:val="Executive summary table"/>
    <w:basedOn w:val="TableNormal"/>
    <w:uiPriority w:val="49"/>
    <w:rsid w:val="00F65A32"/>
    <w:pPr>
      <w:spacing w:after="0" w:line="240" w:lineRule="auto"/>
    </w:pPr>
    <w:rPr>
      <w:rFonts w:asciiTheme="minorHAnsi" w:eastAsiaTheme="minorHAnsi" w:hAnsiTheme="minorHAnsi"/>
      <w:color w:val="35383F" w:themeColor="text2"/>
      <w:lang w:val="en-US" w:eastAsia="en-US"/>
    </w:rPr>
    <w:tblPr>
      <w:tblStyleRowBandSize w:val="1"/>
      <w:tblStyleColBandSize w:val="1"/>
      <w:tblBorders>
        <w:top w:val="single" w:sz="2" w:space="0" w:color="808080" w:themeColor="accent4"/>
        <w:left w:val="single" w:sz="2" w:space="0" w:color="808080" w:themeColor="accent4"/>
        <w:bottom w:val="single" w:sz="2" w:space="0" w:color="808080" w:themeColor="accent4"/>
        <w:right w:val="single" w:sz="2" w:space="0" w:color="808080" w:themeColor="accent4"/>
        <w:insideH w:val="single" w:sz="2" w:space="0" w:color="808080" w:themeColor="accent4"/>
        <w:insideV w:val="single" w:sz="2" w:space="0" w:color="808080" w:themeColor="accent4"/>
      </w:tblBorders>
      <w:tblCellMar>
        <w:top w:w="57" w:type="dxa"/>
        <w:left w:w="28" w:type="dxa"/>
        <w:bottom w:w="57" w:type="dxa"/>
        <w:right w:w="28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</w:pPr>
      <w:rPr>
        <w:rFonts w:ascii="Arial" w:hAnsi="Arial"/>
        <w:b/>
        <w:bCs/>
        <w:i w:val="0"/>
        <w:caps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rPr>
        <w:cantSplit/>
        <w:tblHeader/>
      </w:trPr>
      <w:tcPr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</w:style>
  <w:style w:type="character" w:customStyle="1" w:styleId="Hashtag1">
    <w:name w:val="Hashtag1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F65A32"/>
    <w:rPr>
      <w:color w:val="2B579A"/>
      <w:shd w:val="clear" w:color="auto" w:fill="E6E6E6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F65A32"/>
    <w:rPr>
      <w:u w:val="dotted"/>
      <w:lang w:val="en-GB"/>
    </w:rPr>
  </w:style>
  <w:style w:type="paragraph" w:customStyle="1" w:styleId="Table-assessment">
    <w:name w:val="Table - assessment"/>
    <w:link w:val="Table-assessmentChar"/>
    <w:uiPriority w:val="1"/>
    <w:qFormat/>
    <w:rsid w:val="00F65A32"/>
    <w:pPr>
      <w:spacing w:before="120" w:after="120" w:line="240" w:lineRule="auto"/>
      <w:ind w:left="113" w:right="113"/>
      <w:jc w:val="both"/>
    </w:pPr>
    <w:rPr>
      <w:rFonts w:eastAsia="Verdana" w:cs="Times New Roman"/>
      <w:b/>
      <w:noProof/>
      <w:color w:val="35383F" w:themeColor="accent3"/>
    </w:rPr>
  </w:style>
  <w:style w:type="character" w:customStyle="1" w:styleId="Table-assessmentChar">
    <w:name w:val="Table - assessment Char"/>
    <w:basedOn w:val="DefaultParagraphFont"/>
    <w:link w:val="Table-assessment"/>
    <w:uiPriority w:val="1"/>
    <w:rsid w:val="00F65A32"/>
    <w:rPr>
      <w:rFonts w:eastAsia="Verdana" w:cs="Times New Roman"/>
      <w:b/>
      <w:noProof/>
      <w:color w:val="35383F" w:themeColor="accent3"/>
    </w:rPr>
  </w:style>
  <w:style w:type="table" w:customStyle="1" w:styleId="TableGrid10">
    <w:name w:val="Table Grid1"/>
    <w:basedOn w:val="TableNormal"/>
    <w:next w:val="TableGrid"/>
    <w:uiPriority w:val="59"/>
    <w:rsid w:val="00F65A32"/>
    <w:pPr>
      <w:spacing w:after="0" w:line="240" w:lineRule="auto"/>
    </w:pPr>
    <w:rPr>
      <w:rFonts w:asciiTheme="minorHAnsi" w:eastAsiaTheme="minorHAnsi" w:hAnsi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rsid w:val="00F65A32"/>
    <w:rPr>
      <w:color w:val="808080"/>
      <w:shd w:val="clear" w:color="auto" w:fill="E6E6E6"/>
      <w:lang w:val="en-GB"/>
    </w:rPr>
  </w:style>
  <w:style w:type="table" w:customStyle="1" w:styleId="Blank">
    <w:name w:val="Blank"/>
    <w:basedOn w:val="TableNormal"/>
    <w:uiPriority w:val="99"/>
    <w:rsid w:val="00F65A32"/>
    <w:pPr>
      <w:spacing w:after="0" w:line="240" w:lineRule="atLeast"/>
    </w:pPr>
    <w:rPr>
      <w:rFonts w:eastAsiaTheme="minorHAnsi" w:cs="Verdana"/>
      <w:lang w:val="da-DK" w:eastAsia="en-US"/>
    </w:rPr>
    <w:tblPr>
      <w:tblCellMar>
        <w:left w:w="0" w:type="dxa"/>
        <w:right w:w="0" w:type="dxa"/>
      </w:tblCellMar>
    </w:tblPr>
  </w:style>
  <w:style w:type="paragraph" w:customStyle="1" w:styleId="Disclaimer">
    <w:name w:val="Disclaimer"/>
    <w:basedOn w:val="Footer"/>
    <w:uiPriority w:val="4"/>
    <w:semiHidden/>
    <w:rsid w:val="00F65A32"/>
    <w:pPr>
      <w:jc w:val="center"/>
    </w:pPr>
    <w:rPr>
      <w:sz w:val="12"/>
    </w:rPr>
  </w:style>
  <w:style w:type="paragraph" w:customStyle="1" w:styleId="DocumentHeading">
    <w:name w:val="Document Heading"/>
    <w:basedOn w:val="Normal"/>
    <w:uiPriority w:val="6"/>
    <w:semiHidden/>
    <w:rsid w:val="00F65A32"/>
    <w:pPr>
      <w:spacing w:after="260" w:line="300" w:lineRule="atLeast"/>
    </w:pPr>
    <w:rPr>
      <w:rFonts w:eastAsiaTheme="minorHAnsi" w:cs="Verdana"/>
      <w:b/>
      <w:sz w:val="22"/>
      <w:lang w:eastAsia="en-US"/>
    </w:rPr>
  </w:style>
  <w:style w:type="paragraph" w:customStyle="1" w:styleId="Recipient">
    <w:name w:val="Recipient"/>
    <w:basedOn w:val="Normal"/>
    <w:uiPriority w:val="2"/>
    <w:semiHidden/>
    <w:rsid w:val="00F65A32"/>
    <w:pPr>
      <w:spacing w:line="260" w:lineRule="atLeast"/>
    </w:pPr>
    <w:rPr>
      <w:rFonts w:eastAsiaTheme="minorHAnsi" w:cs="Verdana"/>
      <w:lang w:eastAsia="en-US"/>
    </w:rPr>
  </w:style>
  <w:style w:type="paragraph" w:customStyle="1" w:styleId="Template">
    <w:name w:val="Template"/>
    <w:uiPriority w:val="2"/>
    <w:semiHidden/>
    <w:rsid w:val="00F65A32"/>
    <w:pPr>
      <w:spacing w:after="0" w:line="260" w:lineRule="atLeast"/>
    </w:pPr>
    <w:rPr>
      <w:rFonts w:eastAsiaTheme="minorHAnsi" w:cs="Verdana"/>
      <w:noProof/>
      <w:lang w:eastAsia="en-US"/>
    </w:rPr>
  </w:style>
  <w:style w:type="paragraph" w:customStyle="1" w:styleId="Template-Address">
    <w:name w:val="Template - Address"/>
    <w:basedOn w:val="Template"/>
    <w:uiPriority w:val="2"/>
    <w:semiHidden/>
    <w:rsid w:val="00F65A32"/>
    <w:pPr>
      <w:tabs>
        <w:tab w:val="left" w:pos="567"/>
      </w:tabs>
      <w:suppressAutoHyphens/>
      <w:jc w:val="right"/>
    </w:pPr>
  </w:style>
  <w:style w:type="paragraph" w:customStyle="1" w:styleId="Template-CompanyName">
    <w:name w:val="Template - Company Name"/>
    <w:basedOn w:val="Template"/>
    <w:next w:val="Template-Address"/>
    <w:uiPriority w:val="2"/>
    <w:semiHidden/>
    <w:rsid w:val="00F65A32"/>
    <w:pPr>
      <w:spacing w:line="200" w:lineRule="atLeast"/>
      <w:jc w:val="right"/>
    </w:pPr>
    <w:rPr>
      <w:b/>
    </w:rPr>
  </w:style>
  <w:style w:type="paragraph" w:customStyle="1" w:styleId="Template-Date">
    <w:name w:val="Template - Date"/>
    <w:basedOn w:val="Template"/>
    <w:uiPriority w:val="2"/>
    <w:semiHidden/>
    <w:rsid w:val="00F65A32"/>
    <w:pPr>
      <w:spacing w:line="280" w:lineRule="atLeast"/>
    </w:pPr>
  </w:style>
  <w:style w:type="paragraph" w:customStyle="1" w:styleId="Heading1-Unnumbered">
    <w:name w:val="Heading 1 - Unnumbered"/>
    <w:basedOn w:val="Heading1"/>
    <w:next w:val="Normal"/>
    <w:link w:val="Heading1-UnnumberedChar"/>
    <w:uiPriority w:val="1"/>
    <w:qFormat/>
    <w:rsid w:val="00F65A32"/>
    <w:pPr>
      <w:numPr>
        <w:numId w:val="0"/>
      </w:numPr>
      <w:outlineLvl w:val="5"/>
    </w:pPr>
  </w:style>
  <w:style w:type="character" w:customStyle="1" w:styleId="Heading1-UnnumberedChar">
    <w:name w:val="Heading 1 - Unnumbered Char"/>
    <w:basedOn w:val="DefaultParagraphFont"/>
    <w:link w:val="Heading1-Unnumbered"/>
    <w:uiPriority w:val="1"/>
    <w:rsid w:val="00F65A32"/>
    <w:rPr>
      <w:rFonts w:eastAsiaTheme="majorEastAsia" w:cs="Times New Roman (Headings CS)"/>
      <w:b/>
      <w:color w:val="35383F" w:themeColor="text2"/>
      <w:sz w:val="32"/>
      <w:szCs w:val="32"/>
    </w:rPr>
  </w:style>
  <w:style w:type="paragraph" w:customStyle="1" w:styleId="Heading2-Unnumbered">
    <w:name w:val="Heading 2 - Unnumbered"/>
    <w:basedOn w:val="Heading2"/>
    <w:next w:val="Normal"/>
    <w:link w:val="Heading2-UnnumberedChar"/>
    <w:uiPriority w:val="1"/>
    <w:qFormat/>
    <w:rsid w:val="00F65A32"/>
    <w:pPr>
      <w:numPr>
        <w:ilvl w:val="0"/>
        <w:numId w:val="0"/>
      </w:numPr>
      <w:outlineLvl w:val="5"/>
    </w:pPr>
    <w:rPr>
      <w:rFonts w:eastAsiaTheme="majorEastAsia"/>
    </w:rPr>
  </w:style>
  <w:style w:type="character" w:customStyle="1" w:styleId="Heading2-UnnumberedChar">
    <w:name w:val="Heading 2 - Unnumbered Char"/>
    <w:basedOn w:val="Heading1-UnnumberedChar"/>
    <w:link w:val="Heading2-Unnumbered"/>
    <w:uiPriority w:val="1"/>
    <w:rsid w:val="00F65A32"/>
    <w:rPr>
      <w:rFonts w:eastAsiaTheme="majorEastAsia" w:cs="Times New Roman (Body CS)"/>
      <w:b/>
      <w:color w:val="35383F" w:themeColor="text2"/>
      <w:sz w:val="28"/>
      <w:szCs w:val="26"/>
    </w:rPr>
  </w:style>
  <w:style w:type="paragraph" w:customStyle="1" w:styleId="Heading3-Unnumbered">
    <w:name w:val="Heading 3 - Unnumbered"/>
    <w:basedOn w:val="Heading3"/>
    <w:next w:val="Normal"/>
    <w:link w:val="Heading3-UnnumberedChar"/>
    <w:uiPriority w:val="1"/>
    <w:qFormat/>
    <w:rsid w:val="00F65A32"/>
    <w:pPr>
      <w:numPr>
        <w:ilvl w:val="0"/>
        <w:numId w:val="0"/>
      </w:numPr>
    </w:pPr>
  </w:style>
  <w:style w:type="character" w:customStyle="1" w:styleId="Heading3-UnnumberedChar">
    <w:name w:val="Heading 3 - Unnumbered Char"/>
    <w:basedOn w:val="DefaultParagraphFont"/>
    <w:link w:val="Heading3-Unnumbered"/>
    <w:uiPriority w:val="1"/>
    <w:rsid w:val="00F65A32"/>
    <w:rPr>
      <w:rFonts w:eastAsiaTheme="majorEastAsia" w:cstheme="majorBidi"/>
      <w:b/>
      <w:color w:val="35383F" w:themeColor="text2"/>
      <w:sz w:val="24"/>
      <w:szCs w:val="24"/>
    </w:rPr>
  </w:style>
  <w:style w:type="paragraph" w:customStyle="1" w:styleId="Heading4-Unnumbered">
    <w:name w:val="Heading 4 - Unnumbered"/>
    <w:basedOn w:val="Heading4"/>
    <w:next w:val="Normal"/>
    <w:link w:val="Heading4-UnnumberedChar"/>
    <w:uiPriority w:val="1"/>
    <w:qFormat/>
    <w:rsid w:val="00F65A32"/>
    <w:pPr>
      <w:numPr>
        <w:ilvl w:val="0"/>
        <w:numId w:val="0"/>
      </w:numPr>
    </w:pPr>
  </w:style>
  <w:style w:type="character" w:customStyle="1" w:styleId="Heading4-UnnumberedChar">
    <w:name w:val="Heading 4 - Unnumbered Char"/>
    <w:basedOn w:val="DefaultParagraphFont"/>
    <w:link w:val="Heading4-Unnumbered"/>
    <w:uiPriority w:val="1"/>
    <w:rsid w:val="00F65A32"/>
    <w:rPr>
      <w:rFonts w:eastAsiaTheme="majorEastAsia" w:cstheme="majorBidi"/>
      <w:b/>
      <w:iCs/>
      <w:color w:val="35383F" w:themeColor="text2"/>
      <w:sz w:val="20"/>
    </w:rPr>
  </w:style>
  <w:style w:type="paragraph" w:customStyle="1" w:styleId="paragraph">
    <w:name w:val="paragraph"/>
    <w:basedOn w:val="Normal"/>
    <w:rsid w:val="0033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32CA6"/>
  </w:style>
  <w:style w:type="character" w:customStyle="1" w:styleId="eop">
    <w:name w:val="eop"/>
    <w:basedOn w:val="DefaultParagraphFont"/>
    <w:rsid w:val="00332CA6"/>
  </w:style>
  <w:style w:type="paragraph" w:styleId="Revision">
    <w:name w:val="Revision"/>
    <w:hidden/>
    <w:uiPriority w:val="99"/>
    <w:semiHidden/>
    <w:rsid w:val="00E21A4F"/>
    <w:pPr>
      <w:spacing w:after="0" w:line="240" w:lineRule="auto"/>
    </w:pPr>
    <w:rPr>
      <w:rFonts w:cs="Times New Roman (Body CS)"/>
      <w:color w:val="35383F" w:themeColor="text2"/>
    </w:rPr>
  </w:style>
  <w:style w:type="paragraph" w:customStyle="1" w:styleId="Default">
    <w:name w:val="Default"/>
    <w:rsid w:val="00E21A4F"/>
    <w:pPr>
      <w:autoSpaceDE w:val="0"/>
      <w:autoSpaceDN w:val="0"/>
      <w:adjustRightInd w:val="0"/>
      <w:spacing w:after="0" w:line="240" w:lineRule="auto"/>
    </w:pPr>
    <w:rPr>
      <w:rFonts w:ascii="AXTUQT+Cambria" w:hAnsi="AXTUQT+Cambria" w:cs="AXTUQT+Cambria"/>
      <w:color w:val="000000"/>
      <w:sz w:val="24"/>
      <w:szCs w:val="24"/>
      <w:lang w:val="en-MY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SR-M">
      <a:dk1>
        <a:srgbClr val="000000"/>
      </a:dk1>
      <a:lt1>
        <a:srgbClr val="FFFFFF"/>
      </a:lt1>
      <a:dk2>
        <a:srgbClr val="35383F"/>
      </a:dk2>
      <a:lt2>
        <a:srgbClr val="FFFFFF"/>
      </a:lt2>
      <a:accent1>
        <a:srgbClr val="FE5F01"/>
      </a:accent1>
      <a:accent2>
        <a:srgbClr val="F81F1A"/>
      </a:accent2>
      <a:accent3>
        <a:srgbClr val="35383F"/>
      </a:accent3>
      <a:accent4>
        <a:srgbClr val="808080"/>
      </a:accent4>
      <a:accent5>
        <a:srgbClr val="BFBFBF"/>
      </a:accent5>
      <a:accent6>
        <a:srgbClr val="E5E5E5"/>
      </a:accent6>
      <a:hlink>
        <a:srgbClr val="35383F"/>
      </a:hlink>
      <a:folHlink>
        <a:srgbClr val="35383F"/>
      </a:folHlink>
    </a:clrScheme>
    <a:fontScheme name="S-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EXTREME">
      <a:srgbClr val="820E23"/>
    </a:custClr>
    <a:custClr name="HIGH">
      <a:srgbClr val="F26241"/>
    </a:custClr>
    <a:custClr name="MEDIUM">
      <a:srgbClr val="F2A151"/>
    </a:custClr>
    <a:custClr name="LOW">
      <a:srgbClr val="F2D060"/>
    </a:custClr>
    <a:custClr name="INSIGNIFICANT">
      <a:srgbClr val="329572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45FD70882D44183F5D9C2929C760F" ma:contentTypeVersion="13" ma:contentTypeDescription="Crée un document." ma:contentTypeScope="" ma:versionID="a2b1fe18f0a19e35aa0ba5822bf5785c">
  <xsd:schema xmlns:xsd="http://www.w3.org/2001/XMLSchema" xmlns:xs="http://www.w3.org/2001/XMLSchema" xmlns:p="http://schemas.microsoft.com/office/2006/metadata/properties" xmlns:ns1="http://schemas.microsoft.com/sharepoint/v3" xmlns:ns2="dcaebf34-a96d-4cac-a0ab-602767648896" xmlns:ns3="a671255e-007d-4afb-a7e1-52d5a458d1dd" targetNamespace="http://schemas.microsoft.com/office/2006/metadata/properties" ma:root="true" ma:fieldsID="7fa1c7f66a52a8e794791916bdef6335" ns1:_="" ns2:_="" ns3:_="">
    <xsd:import namespace="http://schemas.microsoft.com/sharepoint/v3"/>
    <xsd:import namespace="dcaebf34-a96d-4cac-a0ab-602767648896"/>
    <xsd:import namespace="a671255e-007d-4afb-a7e1-52d5a458d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ebf34-a96d-4cac-a0ab-60276764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7d2b5fe4-a549-4e54-ad06-6019c02a4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1255e-007d-4afb-a7e1-52d5a458d1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7c84f9-2462-4062-b089-57a21340f570}" ma:internalName="TaxCatchAll" ma:showField="CatchAllData" ma:web="a671255e-007d-4afb-a7e1-52d5a458d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caebf34-a96d-4cac-a0ab-602767648896">
      <Terms xmlns="http://schemas.microsoft.com/office/infopath/2007/PartnerControls"/>
    </lcf76f155ced4ddcb4097134ff3c332f>
    <TaxCatchAll xmlns="a671255e-007d-4afb-a7e1-52d5a458d1dd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BE388F-BDA8-4C7E-96E9-51BD79FA5EC2}"/>
</file>

<file path=customXml/itemProps2.xml><?xml version="1.0" encoding="utf-8"?>
<ds:datastoreItem xmlns:ds="http://schemas.openxmlformats.org/officeDocument/2006/customXml" ds:itemID="{ECE124C8-8DC9-4DC2-A6D1-59828DF54E97}"/>
</file>

<file path=customXml/itemProps3.xml><?xml version="1.0" encoding="utf-8"?>
<ds:datastoreItem xmlns:ds="http://schemas.openxmlformats.org/officeDocument/2006/customXml" ds:itemID="{C88540B1-4F00-4BD3-BD88-49381735E51F}"/>
</file>

<file path=docMetadata/LabelInfo.xml><?xml version="1.0" encoding="utf-8"?>
<clbl:labelList xmlns:clbl="http://schemas.microsoft.com/office/2020/mipLabelMetadata">
  <clbl:label id="{1a2c4c6c-778f-4a71-abb2-982986745419}" enabled="1" method="Standard" siteId="{ce56fae6-055d-4c9f-b6c9-9d341506a4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2800</Words>
  <Characters>16578</Characters>
  <Application>Microsoft Office Word</Application>
  <DocSecurity>0</DocSecurity>
  <Lines>352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2025-08-28T18:11:00Z</dcterms:created>
  <dcterms:modified xsi:type="dcterms:W3CDTF">2026-08-17T12:03:00Z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0x01010026A45FD70882D44183F5D9C2929C760F</vt:lpwstr>
  </property>
</Properties>
</file>